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eastAsiaTheme="majorEastAsia" w:cstheme="majorBidi"/>
          <w:lang w:eastAsia="pl-PL"/>
        </w:rPr>
        <w:id w:val="701064349"/>
        <w:docPartObj>
          <w:docPartGallery w:val="Cover Pages"/>
          <w:docPartUnique/>
        </w:docPartObj>
      </w:sdtPr>
      <w:sdtEndPr>
        <w:rPr>
          <w:rFonts w:eastAsiaTheme="minorEastAsia" w:cs="Times New Roman"/>
          <w:sz w:val="24"/>
          <w:szCs w:val="24"/>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7442"/>
          </w:tblGrid>
          <w:tr w:rsidR="0042639B" w:rsidRPr="00AB5F7C">
            <w:tc>
              <w:tcPr>
                <w:tcW w:w="7672" w:type="dxa"/>
                <w:tcMar>
                  <w:top w:w="216" w:type="dxa"/>
                  <w:left w:w="115" w:type="dxa"/>
                  <w:bottom w:w="216" w:type="dxa"/>
                  <w:right w:w="115" w:type="dxa"/>
                </w:tcMar>
              </w:tcPr>
              <w:p w:rsidR="0042639B" w:rsidRPr="00AB5F7C" w:rsidRDefault="0042639B" w:rsidP="0042639B">
                <w:pPr>
                  <w:pStyle w:val="Bezodstpw"/>
                  <w:rPr>
                    <w:rFonts w:eastAsiaTheme="majorEastAsia" w:cstheme="majorBidi"/>
                  </w:rPr>
                </w:pPr>
              </w:p>
            </w:tc>
          </w:tr>
          <w:tr w:rsidR="0042639B" w:rsidRPr="00AB5F7C">
            <w:tc>
              <w:tcPr>
                <w:tcW w:w="7672" w:type="dxa"/>
              </w:tcPr>
              <w:p w:rsidR="0042639B" w:rsidRPr="00AB5F7C" w:rsidRDefault="0042639B" w:rsidP="0042639B">
                <w:pPr>
                  <w:pStyle w:val="Bezodstpw"/>
                  <w:rPr>
                    <w:rFonts w:eastAsiaTheme="majorEastAsia" w:cs="Times New Roman"/>
                    <w:color w:val="0070C0"/>
                    <w:sz w:val="44"/>
                    <w:szCs w:val="44"/>
                  </w:rPr>
                </w:pPr>
                <w:r w:rsidRPr="00AB5F7C">
                  <w:rPr>
                    <w:sz w:val="50"/>
                    <w:szCs w:val="50"/>
                  </w:rPr>
                  <w:t xml:space="preserve"> </w:t>
                </w:r>
                <w:r w:rsidRPr="00AB5F7C">
                  <w:rPr>
                    <w:rFonts w:cs="Times New Roman"/>
                    <w:color w:val="0070C0"/>
                    <w:sz w:val="44"/>
                    <w:szCs w:val="44"/>
                  </w:rPr>
                  <w:t>Raport z konsultacji społecznych projektu uchwały Rady Miejskiej w Ciechanowcu w sprawie wyznaczenia obszaru zdegradowanego i obszaru</w:t>
                </w:r>
                <w:r w:rsidRPr="00AB5F7C">
                  <w:rPr>
                    <w:rFonts w:cs="Times New Roman"/>
                    <w:color w:val="0070C0"/>
                    <w:sz w:val="44"/>
                    <w:szCs w:val="44"/>
                  </w:rPr>
                  <w:br/>
                  <w:t>rewitalizacji dla Gminy Ciechanowiec</w:t>
                </w:r>
              </w:p>
            </w:tc>
          </w:tr>
          <w:tr w:rsidR="0042639B" w:rsidRPr="00AB5F7C">
            <w:tc>
              <w:tcPr>
                <w:tcW w:w="7672" w:type="dxa"/>
                <w:tcMar>
                  <w:top w:w="216" w:type="dxa"/>
                  <w:left w:w="115" w:type="dxa"/>
                  <w:bottom w:w="216" w:type="dxa"/>
                  <w:right w:w="115" w:type="dxa"/>
                </w:tcMar>
              </w:tcPr>
              <w:p w:rsidR="0042639B" w:rsidRPr="00AB5F7C" w:rsidRDefault="0042639B" w:rsidP="0042639B">
                <w:pPr>
                  <w:pStyle w:val="Bezodstpw"/>
                  <w:rPr>
                    <w:rFonts w:eastAsiaTheme="majorEastAsia" w:cstheme="majorBidi"/>
                  </w:rPr>
                </w:pPr>
              </w:p>
            </w:tc>
          </w:tr>
        </w:tbl>
        <w:p w:rsidR="0042639B" w:rsidRPr="00AB5F7C" w:rsidRDefault="0042639B"/>
        <w:p w:rsidR="0042639B" w:rsidRPr="00AB5F7C" w:rsidRDefault="0042639B"/>
        <w:tbl>
          <w:tblPr>
            <w:tblpPr w:leftFromText="187" w:rightFromText="187" w:horzAnchor="margin" w:tblpXSpec="center" w:tblpYSpec="bottom"/>
            <w:tblW w:w="4000" w:type="pct"/>
            <w:tblLook w:val="04A0"/>
          </w:tblPr>
          <w:tblGrid>
            <w:gridCol w:w="7442"/>
          </w:tblGrid>
          <w:tr w:rsidR="0042639B" w:rsidRPr="00AB5F7C">
            <w:tc>
              <w:tcPr>
                <w:tcW w:w="7672" w:type="dxa"/>
                <w:tcMar>
                  <w:top w:w="216" w:type="dxa"/>
                  <w:left w:w="115" w:type="dxa"/>
                  <w:bottom w:w="216" w:type="dxa"/>
                  <w:right w:w="115" w:type="dxa"/>
                </w:tcMar>
              </w:tcPr>
              <w:p w:rsidR="0042639B" w:rsidRPr="00AB5F7C" w:rsidRDefault="0042639B">
                <w:pPr>
                  <w:pStyle w:val="Bezodstpw"/>
                  <w:rPr>
                    <w:color w:val="4F81BD" w:themeColor="accent1"/>
                  </w:rPr>
                </w:pPr>
              </w:p>
              <w:p w:rsidR="0042639B" w:rsidRPr="00AB5F7C" w:rsidRDefault="0042639B">
                <w:pPr>
                  <w:pStyle w:val="Bezodstpw"/>
                  <w:rPr>
                    <w:color w:val="4F81BD" w:themeColor="accent1"/>
                  </w:rPr>
                </w:pPr>
              </w:p>
            </w:tc>
          </w:tr>
        </w:tbl>
        <w:p w:rsidR="0042639B" w:rsidRPr="00AB5F7C" w:rsidRDefault="0042639B"/>
        <w:p w:rsidR="0042639B" w:rsidRPr="00AB5F7C" w:rsidRDefault="0042639B">
          <w:pPr>
            <w:rPr>
              <w:rFonts w:cs="Times New Roman"/>
              <w:sz w:val="24"/>
              <w:szCs w:val="24"/>
            </w:rPr>
          </w:pPr>
          <w:r w:rsidRPr="00AB5F7C">
            <w:rPr>
              <w:rFonts w:cs="Times New Roman"/>
              <w:sz w:val="24"/>
              <w:szCs w:val="24"/>
            </w:rPr>
            <w:br w:type="page"/>
          </w:r>
        </w:p>
      </w:sdtContent>
    </w:sdt>
    <w:p w:rsidR="005A226B" w:rsidRPr="00AB5F7C" w:rsidRDefault="005A226B" w:rsidP="005A226B">
      <w:pPr>
        <w:spacing w:line="360" w:lineRule="auto"/>
        <w:rPr>
          <w:rFonts w:cs="Times New Roman"/>
          <w:sz w:val="24"/>
          <w:szCs w:val="24"/>
        </w:rPr>
      </w:pPr>
    </w:p>
    <w:sdt>
      <w:sdtPr>
        <w:rPr>
          <w:rFonts w:asciiTheme="minorHAnsi" w:eastAsiaTheme="minorEastAsia" w:hAnsiTheme="minorHAnsi" w:cstheme="minorBidi"/>
          <w:b w:val="0"/>
          <w:bCs w:val="0"/>
          <w:color w:val="auto"/>
          <w:sz w:val="22"/>
          <w:szCs w:val="22"/>
          <w:lang w:eastAsia="pl-PL"/>
        </w:rPr>
        <w:id w:val="701064344"/>
        <w:docPartObj>
          <w:docPartGallery w:val="Table of Contents"/>
          <w:docPartUnique/>
        </w:docPartObj>
      </w:sdtPr>
      <w:sdtContent>
        <w:p w:rsidR="0042639B" w:rsidRPr="00AB5F7C" w:rsidRDefault="0042639B">
          <w:pPr>
            <w:pStyle w:val="Nagwekspisutreci"/>
            <w:rPr>
              <w:rFonts w:asciiTheme="minorHAnsi" w:hAnsiTheme="minorHAnsi" w:cs="Times New Roman"/>
              <w:sz w:val="24"/>
              <w:szCs w:val="24"/>
            </w:rPr>
          </w:pPr>
          <w:r w:rsidRPr="00AB5F7C">
            <w:rPr>
              <w:rFonts w:asciiTheme="minorHAnsi" w:hAnsiTheme="minorHAnsi" w:cs="Times New Roman"/>
              <w:sz w:val="24"/>
              <w:szCs w:val="24"/>
            </w:rPr>
            <w:t>Spis treści</w:t>
          </w:r>
        </w:p>
        <w:p w:rsidR="0042639B" w:rsidRPr="00AB5F7C" w:rsidRDefault="003D4277">
          <w:pPr>
            <w:pStyle w:val="Spistreci1"/>
            <w:tabs>
              <w:tab w:val="left" w:pos="440"/>
              <w:tab w:val="right" w:leader="dot" w:pos="9062"/>
            </w:tabs>
            <w:rPr>
              <w:rFonts w:cs="Times New Roman"/>
              <w:noProof/>
              <w:sz w:val="24"/>
              <w:szCs w:val="24"/>
            </w:rPr>
          </w:pPr>
          <w:r w:rsidRPr="00AB5F7C">
            <w:rPr>
              <w:rFonts w:cs="Times New Roman"/>
              <w:sz w:val="24"/>
              <w:szCs w:val="24"/>
            </w:rPr>
            <w:fldChar w:fldCharType="begin"/>
          </w:r>
          <w:r w:rsidR="0042639B" w:rsidRPr="00AB5F7C">
            <w:rPr>
              <w:rFonts w:cs="Times New Roman"/>
              <w:sz w:val="24"/>
              <w:szCs w:val="24"/>
            </w:rPr>
            <w:instrText xml:space="preserve"> TOC \o "1-3" \h \z \u </w:instrText>
          </w:r>
          <w:r w:rsidRPr="00AB5F7C">
            <w:rPr>
              <w:rFonts w:cs="Times New Roman"/>
              <w:sz w:val="24"/>
              <w:szCs w:val="24"/>
            </w:rPr>
            <w:fldChar w:fldCharType="separate"/>
          </w:r>
          <w:hyperlink w:anchor="_Toc103940035" w:history="1">
            <w:r w:rsidR="0042639B" w:rsidRPr="00AB5F7C">
              <w:rPr>
                <w:rStyle w:val="Hipercze"/>
                <w:rFonts w:cs="Times New Roman"/>
                <w:noProof/>
                <w:sz w:val="24"/>
                <w:szCs w:val="24"/>
              </w:rPr>
              <w:t>1.</w:t>
            </w:r>
            <w:r w:rsidR="0042639B" w:rsidRPr="00AB5F7C">
              <w:rPr>
                <w:rFonts w:cs="Times New Roman"/>
                <w:noProof/>
                <w:sz w:val="24"/>
                <w:szCs w:val="24"/>
              </w:rPr>
              <w:tab/>
            </w:r>
            <w:r w:rsidR="0042639B" w:rsidRPr="00AB5F7C">
              <w:rPr>
                <w:rStyle w:val="Hipercze"/>
                <w:rFonts w:cs="Times New Roman"/>
                <w:noProof/>
                <w:sz w:val="24"/>
                <w:szCs w:val="24"/>
              </w:rPr>
              <w:t>Podstawa prawna</w:t>
            </w:r>
            <w:r w:rsidR="0042639B" w:rsidRPr="00AB5F7C">
              <w:rPr>
                <w:rFonts w:cs="Times New Roman"/>
                <w:noProof/>
                <w:webHidden/>
                <w:sz w:val="24"/>
                <w:szCs w:val="24"/>
              </w:rPr>
              <w:tab/>
            </w:r>
            <w:r w:rsidRPr="00AB5F7C">
              <w:rPr>
                <w:rFonts w:cs="Times New Roman"/>
                <w:noProof/>
                <w:webHidden/>
                <w:sz w:val="24"/>
                <w:szCs w:val="24"/>
              </w:rPr>
              <w:fldChar w:fldCharType="begin"/>
            </w:r>
            <w:r w:rsidR="0042639B" w:rsidRPr="00AB5F7C">
              <w:rPr>
                <w:rFonts w:cs="Times New Roman"/>
                <w:noProof/>
                <w:webHidden/>
                <w:sz w:val="24"/>
                <w:szCs w:val="24"/>
              </w:rPr>
              <w:instrText xml:space="preserve"> PAGEREF _Toc103940035 \h </w:instrText>
            </w:r>
            <w:r w:rsidRPr="00AB5F7C">
              <w:rPr>
                <w:rFonts w:cs="Times New Roman"/>
                <w:noProof/>
                <w:webHidden/>
                <w:sz w:val="24"/>
                <w:szCs w:val="24"/>
              </w:rPr>
            </w:r>
            <w:r w:rsidRPr="00AB5F7C">
              <w:rPr>
                <w:rFonts w:cs="Times New Roman"/>
                <w:noProof/>
                <w:webHidden/>
                <w:sz w:val="24"/>
                <w:szCs w:val="24"/>
              </w:rPr>
              <w:fldChar w:fldCharType="separate"/>
            </w:r>
            <w:r w:rsidR="0042639B" w:rsidRPr="00AB5F7C">
              <w:rPr>
                <w:rFonts w:cs="Times New Roman"/>
                <w:noProof/>
                <w:webHidden/>
                <w:sz w:val="24"/>
                <w:szCs w:val="24"/>
              </w:rPr>
              <w:t>2</w:t>
            </w:r>
            <w:r w:rsidRPr="00AB5F7C">
              <w:rPr>
                <w:rFonts w:cs="Times New Roman"/>
                <w:noProof/>
                <w:webHidden/>
                <w:sz w:val="24"/>
                <w:szCs w:val="24"/>
              </w:rPr>
              <w:fldChar w:fldCharType="end"/>
            </w:r>
          </w:hyperlink>
        </w:p>
        <w:p w:rsidR="0042639B" w:rsidRPr="00AB5F7C" w:rsidRDefault="003D4277">
          <w:pPr>
            <w:pStyle w:val="Spistreci1"/>
            <w:tabs>
              <w:tab w:val="left" w:pos="440"/>
              <w:tab w:val="right" w:leader="dot" w:pos="9062"/>
            </w:tabs>
            <w:rPr>
              <w:rFonts w:cs="Times New Roman"/>
              <w:noProof/>
              <w:sz w:val="24"/>
              <w:szCs w:val="24"/>
            </w:rPr>
          </w:pPr>
          <w:hyperlink w:anchor="_Toc103940036" w:history="1">
            <w:r w:rsidR="0042639B" w:rsidRPr="00AB5F7C">
              <w:rPr>
                <w:rStyle w:val="Hipercze"/>
                <w:rFonts w:cs="Times New Roman"/>
                <w:noProof/>
                <w:sz w:val="24"/>
                <w:szCs w:val="24"/>
              </w:rPr>
              <w:t>2.</w:t>
            </w:r>
            <w:r w:rsidR="0042639B" w:rsidRPr="00AB5F7C">
              <w:rPr>
                <w:rFonts w:cs="Times New Roman"/>
                <w:noProof/>
                <w:sz w:val="24"/>
                <w:szCs w:val="24"/>
              </w:rPr>
              <w:tab/>
            </w:r>
            <w:r w:rsidR="0042639B" w:rsidRPr="00AB5F7C">
              <w:rPr>
                <w:rStyle w:val="Hipercze"/>
                <w:rFonts w:cs="Times New Roman"/>
                <w:noProof/>
                <w:sz w:val="24"/>
                <w:szCs w:val="24"/>
              </w:rPr>
              <w:t>Formy konsultacji</w:t>
            </w:r>
            <w:r w:rsidR="0042639B" w:rsidRPr="00AB5F7C">
              <w:rPr>
                <w:rFonts w:cs="Times New Roman"/>
                <w:noProof/>
                <w:webHidden/>
                <w:sz w:val="24"/>
                <w:szCs w:val="24"/>
              </w:rPr>
              <w:tab/>
            </w:r>
            <w:r w:rsidRPr="00AB5F7C">
              <w:rPr>
                <w:rFonts w:cs="Times New Roman"/>
                <w:noProof/>
                <w:webHidden/>
                <w:sz w:val="24"/>
                <w:szCs w:val="24"/>
              </w:rPr>
              <w:fldChar w:fldCharType="begin"/>
            </w:r>
            <w:r w:rsidR="0042639B" w:rsidRPr="00AB5F7C">
              <w:rPr>
                <w:rFonts w:cs="Times New Roman"/>
                <w:noProof/>
                <w:webHidden/>
                <w:sz w:val="24"/>
                <w:szCs w:val="24"/>
              </w:rPr>
              <w:instrText xml:space="preserve"> PAGEREF _Toc103940036 \h </w:instrText>
            </w:r>
            <w:r w:rsidRPr="00AB5F7C">
              <w:rPr>
                <w:rFonts w:cs="Times New Roman"/>
                <w:noProof/>
                <w:webHidden/>
                <w:sz w:val="24"/>
                <w:szCs w:val="24"/>
              </w:rPr>
            </w:r>
            <w:r w:rsidRPr="00AB5F7C">
              <w:rPr>
                <w:rFonts w:cs="Times New Roman"/>
                <w:noProof/>
                <w:webHidden/>
                <w:sz w:val="24"/>
                <w:szCs w:val="24"/>
              </w:rPr>
              <w:fldChar w:fldCharType="separate"/>
            </w:r>
            <w:r w:rsidR="0042639B" w:rsidRPr="00AB5F7C">
              <w:rPr>
                <w:rFonts w:cs="Times New Roman"/>
                <w:noProof/>
                <w:webHidden/>
                <w:sz w:val="24"/>
                <w:szCs w:val="24"/>
              </w:rPr>
              <w:t>3</w:t>
            </w:r>
            <w:r w:rsidRPr="00AB5F7C">
              <w:rPr>
                <w:rFonts w:cs="Times New Roman"/>
                <w:noProof/>
                <w:webHidden/>
                <w:sz w:val="24"/>
                <w:szCs w:val="24"/>
              </w:rPr>
              <w:fldChar w:fldCharType="end"/>
            </w:r>
          </w:hyperlink>
        </w:p>
        <w:p w:rsidR="0042639B" w:rsidRPr="00AB5F7C" w:rsidRDefault="003D4277">
          <w:pPr>
            <w:pStyle w:val="Spistreci1"/>
            <w:tabs>
              <w:tab w:val="left" w:pos="440"/>
              <w:tab w:val="right" w:leader="dot" w:pos="9062"/>
            </w:tabs>
            <w:rPr>
              <w:rFonts w:cs="Times New Roman"/>
              <w:noProof/>
              <w:sz w:val="24"/>
              <w:szCs w:val="24"/>
            </w:rPr>
          </w:pPr>
          <w:hyperlink w:anchor="_Toc103940037" w:history="1">
            <w:r w:rsidR="0042639B" w:rsidRPr="00AB5F7C">
              <w:rPr>
                <w:rStyle w:val="Hipercze"/>
                <w:rFonts w:cs="Times New Roman"/>
                <w:noProof/>
                <w:sz w:val="24"/>
                <w:szCs w:val="24"/>
              </w:rPr>
              <w:t>3.</w:t>
            </w:r>
            <w:r w:rsidR="0042639B" w:rsidRPr="00AB5F7C">
              <w:rPr>
                <w:rFonts w:cs="Times New Roman"/>
                <w:noProof/>
                <w:sz w:val="24"/>
                <w:szCs w:val="24"/>
              </w:rPr>
              <w:tab/>
            </w:r>
            <w:r w:rsidR="0042639B" w:rsidRPr="00AB5F7C">
              <w:rPr>
                <w:rStyle w:val="Hipercze"/>
                <w:rFonts w:cs="Times New Roman"/>
                <w:noProof/>
                <w:sz w:val="24"/>
                <w:szCs w:val="24"/>
              </w:rPr>
              <w:t>Przebieg zaproponowanych form konsultacji</w:t>
            </w:r>
            <w:r w:rsidR="0042639B" w:rsidRPr="00AB5F7C">
              <w:rPr>
                <w:rFonts w:cs="Times New Roman"/>
                <w:noProof/>
                <w:webHidden/>
                <w:sz w:val="24"/>
                <w:szCs w:val="24"/>
              </w:rPr>
              <w:tab/>
            </w:r>
            <w:r w:rsidRPr="00AB5F7C">
              <w:rPr>
                <w:rFonts w:cs="Times New Roman"/>
                <w:noProof/>
                <w:webHidden/>
                <w:sz w:val="24"/>
                <w:szCs w:val="24"/>
              </w:rPr>
              <w:fldChar w:fldCharType="begin"/>
            </w:r>
            <w:r w:rsidR="0042639B" w:rsidRPr="00AB5F7C">
              <w:rPr>
                <w:rFonts w:cs="Times New Roman"/>
                <w:noProof/>
                <w:webHidden/>
                <w:sz w:val="24"/>
                <w:szCs w:val="24"/>
              </w:rPr>
              <w:instrText xml:space="preserve"> PAGEREF _Toc103940037 \h </w:instrText>
            </w:r>
            <w:r w:rsidRPr="00AB5F7C">
              <w:rPr>
                <w:rFonts w:cs="Times New Roman"/>
                <w:noProof/>
                <w:webHidden/>
                <w:sz w:val="24"/>
                <w:szCs w:val="24"/>
              </w:rPr>
            </w:r>
            <w:r w:rsidRPr="00AB5F7C">
              <w:rPr>
                <w:rFonts w:cs="Times New Roman"/>
                <w:noProof/>
                <w:webHidden/>
                <w:sz w:val="24"/>
                <w:szCs w:val="24"/>
              </w:rPr>
              <w:fldChar w:fldCharType="separate"/>
            </w:r>
            <w:r w:rsidR="0042639B" w:rsidRPr="00AB5F7C">
              <w:rPr>
                <w:rFonts w:cs="Times New Roman"/>
                <w:noProof/>
                <w:webHidden/>
                <w:sz w:val="24"/>
                <w:szCs w:val="24"/>
              </w:rPr>
              <w:t>4</w:t>
            </w:r>
            <w:r w:rsidRPr="00AB5F7C">
              <w:rPr>
                <w:rFonts w:cs="Times New Roman"/>
                <w:noProof/>
                <w:webHidden/>
                <w:sz w:val="24"/>
                <w:szCs w:val="24"/>
              </w:rPr>
              <w:fldChar w:fldCharType="end"/>
            </w:r>
          </w:hyperlink>
        </w:p>
        <w:p w:rsidR="0042639B" w:rsidRPr="00AB5F7C" w:rsidRDefault="003D4277">
          <w:pPr>
            <w:pStyle w:val="Spistreci1"/>
            <w:tabs>
              <w:tab w:val="left" w:pos="440"/>
              <w:tab w:val="right" w:leader="dot" w:pos="9062"/>
            </w:tabs>
            <w:rPr>
              <w:rFonts w:cs="Times New Roman"/>
              <w:noProof/>
              <w:sz w:val="24"/>
              <w:szCs w:val="24"/>
            </w:rPr>
          </w:pPr>
          <w:hyperlink w:anchor="_Toc103940038" w:history="1">
            <w:r w:rsidR="0042639B" w:rsidRPr="00AB5F7C">
              <w:rPr>
                <w:rStyle w:val="Hipercze"/>
                <w:rFonts w:cs="Times New Roman"/>
                <w:noProof/>
                <w:sz w:val="24"/>
                <w:szCs w:val="24"/>
              </w:rPr>
              <w:t>4.</w:t>
            </w:r>
            <w:r w:rsidR="0042639B" w:rsidRPr="00AB5F7C">
              <w:rPr>
                <w:rFonts w:cs="Times New Roman"/>
                <w:noProof/>
                <w:sz w:val="24"/>
                <w:szCs w:val="24"/>
              </w:rPr>
              <w:tab/>
            </w:r>
            <w:r w:rsidR="0042639B" w:rsidRPr="00AB5F7C">
              <w:rPr>
                <w:rStyle w:val="Hipercze"/>
                <w:rFonts w:cs="Times New Roman"/>
                <w:noProof/>
                <w:sz w:val="24"/>
                <w:szCs w:val="24"/>
              </w:rPr>
              <w:t>Podsumowanie</w:t>
            </w:r>
            <w:r w:rsidR="0042639B" w:rsidRPr="00AB5F7C">
              <w:rPr>
                <w:rFonts w:cs="Times New Roman"/>
                <w:noProof/>
                <w:webHidden/>
                <w:sz w:val="24"/>
                <w:szCs w:val="24"/>
              </w:rPr>
              <w:tab/>
            </w:r>
            <w:r w:rsidRPr="00AB5F7C">
              <w:rPr>
                <w:rFonts w:cs="Times New Roman"/>
                <w:noProof/>
                <w:webHidden/>
                <w:sz w:val="24"/>
                <w:szCs w:val="24"/>
              </w:rPr>
              <w:fldChar w:fldCharType="begin"/>
            </w:r>
            <w:r w:rsidR="0042639B" w:rsidRPr="00AB5F7C">
              <w:rPr>
                <w:rFonts w:cs="Times New Roman"/>
                <w:noProof/>
                <w:webHidden/>
                <w:sz w:val="24"/>
                <w:szCs w:val="24"/>
              </w:rPr>
              <w:instrText xml:space="preserve"> PAGEREF _Toc103940038 \h </w:instrText>
            </w:r>
            <w:r w:rsidRPr="00AB5F7C">
              <w:rPr>
                <w:rFonts w:cs="Times New Roman"/>
                <w:noProof/>
                <w:webHidden/>
                <w:sz w:val="24"/>
                <w:szCs w:val="24"/>
              </w:rPr>
            </w:r>
            <w:r w:rsidRPr="00AB5F7C">
              <w:rPr>
                <w:rFonts w:cs="Times New Roman"/>
                <w:noProof/>
                <w:webHidden/>
                <w:sz w:val="24"/>
                <w:szCs w:val="24"/>
              </w:rPr>
              <w:fldChar w:fldCharType="separate"/>
            </w:r>
            <w:r w:rsidR="0042639B" w:rsidRPr="00AB5F7C">
              <w:rPr>
                <w:rFonts w:cs="Times New Roman"/>
                <w:noProof/>
                <w:webHidden/>
                <w:sz w:val="24"/>
                <w:szCs w:val="24"/>
              </w:rPr>
              <w:t>5</w:t>
            </w:r>
            <w:r w:rsidRPr="00AB5F7C">
              <w:rPr>
                <w:rFonts w:cs="Times New Roman"/>
                <w:noProof/>
                <w:webHidden/>
                <w:sz w:val="24"/>
                <w:szCs w:val="24"/>
              </w:rPr>
              <w:fldChar w:fldCharType="end"/>
            </w:r>
          </w:hyperlink>
        </w:p>
        <w:p w:rsidR="0042639B" w:rsidRPr="00AB5F7C" w:rsidRDefault="003D4277">
          <w:r w:rsidRPr="00AB5F7C">
            <w:rPr>
              <w:rFonts w:cs="Times New Roman"/>
              <w:sz w:val="24"/>
              <w:szCs w:val="24"/>
            </w:rPr>
            <w:fldChar w:fldCharType="end"/>
          </w:r>
        </w:p>
      </w:sdtContent>
    </w:sdt>
    <w:p w:rsidR="005A226B" w:rsidRPr="00AB5F7C" w:rsidRDefault="005A226B" w:rsidP="005A226B">
      <w:pPr>
        <w:spacing w:line="360" w:lineRule="auto"/>
        <w:rPr>
          <w:rFonts w:cs="Times New Roman"/>
          <w:sz w:val="24"/>
          <w:szCs w:val="24"/>
        </w:rPr>
      </w:pPr>
    </w:p>
    <w:p w:rsidR="005A226B" w:rsidRPr="00AB5F7C" w:rsidRDefault="005A226B" w:rsidP="005A226B">
      <w:pPr>
        <w:spacing w:line="360" w:lineRule="auto"/>
        <w:rPr>
          <w:rFonts w:cs="Times New Roman"/>
          <w:sz w:val="24"/>
          <w:szCs w:val="24"/>
        </w:rPr>
      </w:pPr>
    </w:p>
    <w:p w:rsidR="005A226B" w:rsidRPr="00AB5F7C" w:rsidRDefault="005A226B" w:rsidP="005A226B">
      <w:pPr>
        <w:spacing w:line="360" w:lineRule="auto"/>
        <w:rPr>
          <w:rFonts w:cs="Times New Roman"/>
          <w:sz w:val="24"/>
          <w:szCs w:val="24"/>
        </w:rPr>
      </w:pPr>
    </w:p>
    <w:p w:rsidR="005A226B" w:rsidRPr="00AB5F7C" w:rsidRDefault="005A226B" w:rsidP="005A226B">
      <w:pPr>
        <w:spacing w:line="360" w:lineRule="auto"/>
        <w:rPr>
          <w:rFonts w:cs="Times New Roman"/>
          <w:sz w:val="24"/>
          <w:szCs w:val="24"/>
        </w:rPr>
      </w:pPr>
    </w:p>
    <w:p w:rsidR="005A226B" w:rsidRPr="00AB5F7C" w:rsidRDefault="005A226B" w:rsidP="005A226B">
      <w:pPr>
        <w:spacing w:line="360" w:lineRule="auto"/>
        <w:rPr>
          <w:rFonts w:cs="Times New Roman"/>
          <w:sz w:val="24"/>
          <w:szCs w:val="24"/>
        </w:rPr>
      </w:pPr>
    </w:p>
    <w:p w:rsidR="005A226B" w:rsidRPr="00AB5F7C" w:rsidRDefault="005A226B" w:rsidP="005A226B">
      <w:pPr>
        <w:spacing w:line="360" w:lineRule="auto"/>
        <w:rPr>
          <w:rFonts w:cs="Times New Roman"/>
          <w:sz w:val="24"/>
          <w:szCs w:val="24"/>
        </w:rPr>
      </w:pPr>
    </w:p>
    <w:p w:rsidR="005A226B" w:rsidRPr="00AB5F7C" w:rsidRDefault="005A226B" w:rsidP="005A226B">
      <w:pPr>
        <w:spacing w:line="360" w:lineRule="auto"/>
        <w:rPr>
          <w:rFonts w:cs="Times New Roman"/>
          <w:sz w:val="24"/>
          <w:szCs w:val="24"/>
        </w:rPr>
      </w:pPr>
    </w:p>
    <w:p w:rsidR="005A226B" w:rsidRPr="00AB5F7C" w:rsidRDefault="005A226B" w:rsidP="005A226B">
      <w:pPr>
        <w:spacing w:line="360" w:lineRule="auto"/>
        <w:rPr>
          <w:rFonts w:cs="Times New Roman"/>
          <w:sz w:val="24"/>
          <w:szCs w:val="24"/>
        </w:rPr>
      </w:pPr>
    </w:p>
    <w:p w:rsidR="005A226B" w:rsidRPr="00AB5F7C" w:rsidRDefault="005A226B" w:rsidP="005A226B">
      <w:pPr>
        <w:spacing w:line="360" w:lineRule="auto"/>
        <w:rPr>
          <w:rFonts w:cs="Times New Roman"/>
          <w:sz w:val="24"/>
          <w:szCs w:val="24"/>
        </w:rPr>
      </w:pPr>
    </w:p>
    <w:p w:rsidR="005A226B" w:rsidRPr="00AB5F7C" w:rsidRDefault="005A226B" w:rsidP="005A226B">
      <w:pPr>
        <w:spacing w:line="360" w:lineRule="auto"/>
        <w:rPr>
          <w:rFonts w:cs="Times New Roman"/>
          <w:sz w:val="24"/>
          <w:szCs w:val="24"/>
        </w:rPr>
      </w:pPr>
    </w:p>
    <w:p w:rsidR="005A226B" w:rsidRPr="00AB5F7C" w:rsidRDefault="005A226B" w:rsidP="005A226B">
      <w:pPr>
        <w:spacing w:line="360" w:lineRule="auto"/>
        <w:rPr>
          <w:rFonts w:cs="Times New Roman"/>
          <w:sz w:val="24"/>
          <w:szCs w:val="24"/>
        </w:rPr>
      </w:pPr>
    </w:p>
    <w:p w:rsidR="005A226B" w:rsidRPr="00AB5F7C" w:rsidRDefault="005A226B" w:rsidP="005A226B">
      <w:pPr>
        <w:spacing w:line="360" w:lineRule="auto"/>
        <w:rPr>
          <w:rFonts w:cs="Times New Roman"/>
          <w:sz w:val="24"/>
          <w:szCs w:val="24"/>
        </w:rPr>
      </w:pPr>
    </w:p>
    <w:p w:rsidR="005A226B" w:rsidRPr="00AB5F7C" w:rsidRDefault="005A226B" w:rsidP="005A226B">
      <w:pPr>
        <w:spacing w:line="360" w:lineRule="auto"/>
        <w:rPr>
          <w:rFonts w:cs="Times New Roman"/>
          <w:sz w:val="24"/>
          <w:szCs w:val="24"/>
        </w:rPr>
      </w:pPr>
    </w:p>
    <w:p w:rsidR="005A226B" w:rsidRPr="00AB5F7C" w:rsidRDefault="005A226B" w:rsidP="005A226B">
      <w:pPr>
        <w:spacing w:line="360" w:lineRule="auto"/>
        <w:rPr>
          <w:rFonts w:cs="Times New Roman"/>
          <w:sz w:val="24"/>
          <w:szCs w:val="24"/>
        </w:rPr>
      </w:pPr>
    </w:p>
    <w:p w:rsidR="005A226B" w:rsidRPr="00AB5F7C" w:rsidRDefault="005A226B" w:rsidP="005A226B">
      <w:pPr>
        <w:spacing w:line="360" w:lineRule="auto"/>
        <w:rPr>
          <w:rFonts w:cs="Times New Roman"/>
          <w:sz w:val="24"/>
          <w:szCs w:val="24"/>
        </w:rPr>
      </w:pPr>
    </w:p>
    <w:p w:rsidR="005A226B" w:rsidRPr="00AB5F7C" w:rsidRDefault="005A226B" w:rsidP="005A226B">
      <w:pPr>
        <w:spacing w:line="360" w:lineRule="auto"/>
        <w:rPr>
          <w:rFonts w:cs="Times New Roman"/>
          <w:sz w:val="24"/>
          <w:szCs w:val="24"/>
        </w:rPr>
      </w:pPr>
    </w:p>
    <w:p w:rsidR="005A226B" w:rsidRPr="00AB5F7C" w:rsidRDefault="005A226B" w:rsidP="00AB5F7C">
      <w:pPr>
        <w:pStyle w:val="Nagwek1"/>
        <w:numPr>
          <w:ilvl w:val="0"/>
          <w:numId w:val="5"/>
        </w:numPr>
        <w:spacing w:after="240"/>
        <w:rPr>
          <w:rFonts w:asciiTheme="minorHAnsi" w:hAnsiTheme="minorHAnsi"/>
        </w:rPr>
      </w:pPr>
      <w:bookmarkStart w:id="0" w:name="_Toc103940035"/>
      <w:r w:rsidRPr="00AB5F7C">
        <w:rPr>
          <w:rFonts w:asciiTheme="minorHAnsi" w:hAnsiTheme="minorHAnsi"/>
        </w:rPr>
        <w:lastRenderedPageBreak/>
        <w:t>Podstawa prawna</w:t>
      </w:r>
      <w:bookmarkEnd w:id="0"/>
    </w:p>
    <w:p w:rsidR="00870A63" w:rsidRPr="00AB5F7C" w:rsidRDefault="00870A63" w:rsidP="005A226B">
      <w:pPr>
        <w:spacing w:line="360" w:lineRule="auto"/>
        <w:rPr>
          <w:rFonts w:cs="Times New Roman"/>
          <w:sz w:val="24"/>
          <w:szCs w:val="24"/>
        </w:rPr>
      </w:pPr>
      <w:r w:rsidRPr="00AB5F7C">
        <w:rPr>
          <w:rFonts w:cs="Times New Roman"/>
          <w:sz w:val="24"/>
          <w:szCs w:val="24"/>
        </w:rPr>
        <w:t>Zgodnie z ustawą (Art. 3.1. ustawy z dnia 9 października 2015 r. o rewitalizacji (</w:t>
      </w:r>
      <w:r w:rsidR="00762109" w:rsidRPr="00AB5F7C">
        <w:rPr>
          <w:rStyle w:val="markedcontent"/>
          <w:rFonts w:cs="Times New Roman"/>
          <w:sz w:val="24"/>
          <w:szCs w:val="24"/>
        </w:rPr>
        <w:t>Dz. U. 2021 poz. 485</w:t>
      </w:r>
      <w:r w:rsidRPr="00AB5F7C">
        <w:rPr>
          <w:rFonts w:cs="Times New Roman"/>
          <w:sz w:val="24"/>
          <w:szCs w:val="24"/>
        </w:rPr>
        <w:t>)</w:t>
      </w:r>
      <w:r w:rsidRPr="00AB5F7C">
        <w:rPr>
          <w:rStyle w:val="markedcontent"/>
          <w:rFonts w:cs="Times New Roman"/>
          <w:sz w:val="24"/>
          <w:szCs w:val="24"/>
        </w:rPr>
        <w:t xml:space="preserve"> przygotowanie, koordynowanie i tworzenie warunków do prowadzenia rewitalizacji, a także jej prowadzenie w zakresie właściwości gminy, stanowią jej zadania własne.</w:t>
      </w:r>
      <w:r w:rsidRPr="00AB5F7C">
        <w:rPr>
          <w:rFonts w:cs="Times New Roman"/>
          <w:sz w:val="24"/>
          <w:szCs w:val="24"/>
        </w:rPr>
        <w:br/>
      </w:r>
      <w:r w:rsidR="00113470" w:rsidRPr="00AB5F7C">
        <w:rPr>
          <w:rStyle w:val="markedcontent"/>
          <w:rFonts w:cs="Times New Roman"/>
          <w:sz w:val="24"/>
          <w:szCs w:val="24"/>
        </w:rPr>
        <w:t xml:space="preserve">Zadania te </w:t>
      </w:r>
      <w:r w:rsidRPr="00AB5F7C">
        <w:rPr>
          <w:rStyle w:val="markedcontent"/>
          <w:rFonts w:cs="Times New Roman"/>
          <w:sz w:val="24"/>
          <w:szCs w:val="24"/>
        </w:rPr>
        <w:t>gmina realizuje:</w:t>
      </w:r>
      <w:r w:rsidRPr="00AB5F7C">
        <w:rPr>
          <w:rFonts w:cs="Times New Roman"/>
          <w:sz w:val="24"/>
          <w:szCs w:val="24"/>
        </w:rPr>
        <w:br/>
      </w:r>
      <w:r w:rsidRPr="00AB5F7C">
        <w:rPr>
          <w:rStyle w:val="markedcontent"/>
          <w:rFonts w:cs="Times New Roman"/>
          <w:sz w:val="24"/>
          <w:szCs w:val="24"/>
        </w:rPr>
        <w:t>1) w sposób jawny i przejrzysty, z zapewnieniem akty</w:t>
      </w:r>
      <w:r w:rsidR="00113470" w:rsidRPr="00AB5F7C">
        <w:rPr>
          <w:rStyle w:val="markedcontent"/>
          <w:rFonts w:cs="Times New Roman"/>
          <w:sz w:val="24"/>
          <w:szCs w:val="24"/>
        </w:rPr>
        <w:t xml:space="preserve">wnego udziału </w:t>
      </w:r>
      <w:proofErr w:type="spellStart"/>
      <w:r w:rsidR="00113470" w:rsidRPr="00AB5F7C">
        <w:rPr>
          <w:rStyle w:val="markedcontent"/>
          <w:rFonts w:cs="Times New Roman"/>
          <w:sz w:val="24"/>
          <w:szCs w:val="24"/>
        </w:rPr>
        <w:t>interesariuszy</w:t>
      </w:r>
      <w:proofErr w:type="spellEnd"/>
      <w:r w:rsidR="00113470" w:rsidRPr="00AB5F7C">
        <w:rPr>
          <w:rStyle w:val="markedcontent"/>
          <w:rFonts w:cs="Times New Roman"/>
          <w:sz w:val="24"/>
          <w:szCs w:val="24"/>
        </w:rPr>
        <w:t xml:space="preserve"> na</w:t>
      </w:r>
      <w:r w:rsidR="005A226B" w:rsidRPr="00AB5F7C">
        <w:rPr>
          <w:rStyle w:val="markedcontent"/>
          <w:rFonts w:cs="Times New Roman"/>
          <w:sz w:val="24"/>
          <w:szCs w:val="24"/>
        </w:rPr>
        <w:t xml:space="preserve"> </w:t>
      </w:r>
      <w:r w:rsidRPr="00AB5F7C">
        <w:rPr>
          <w:rStyle w:val="markedcontent"/>
          <w:rFonts w:cs="Times New Roman"/>
          <w:sz w:val="24"/>
          <w:szCs w:val="24"/>
        </w:rPr>
        <w:t>każdym etapie (partycypacja społeczna);</w:t>
      </w:r>
      <w:r w:rsidRPr="00AB5F7C">
        <w:rPr>
          <w:rFonts w:cs="Times New Roman"/>
          <w:sz w:val="24"/>
          <w:szCs w:val="24"/>
        </w:rPr>
        <w:br/>
      </w:r>
      <w:r w:rsidRPr="00AB5F7C">
        <w:rPr>
          <w:rStyle w:val="markedcontent"/>
          <w:rFonts w:cs="Times New Roman"/>
          <w:sz w:val="24"/>
          <w:szCs w:val="24"/>
        </w:rPr>
        <w:t>2) w sposób zapobiegający wykluczeniu mieszkańców obszaru rewitalizacji z możliwości korzystania z pozytywnych efektów procesu rewitalizacji, w szczególności w zakresie warunków korzystania z gminnego zasobu mieszkaniowego;</w:t>
      </w:r>
      <w:r w:rsidRPr="00AB5F7C">
        <w:rPr>
          <w:rFonts w:cs="Times New Roman"/>
          <w:sz w:val="24"/>
          <w:szCs w:val="24"/>
        </w:rPr>
        <w:br/>
      </w:r>
      <w:r w:rsidRPr="00AB5F7C">
        <w:rPr>
          <w:rStyle w:val="markedcontent"/>
          <w:rFonts w:cs="Times New Roman"/>
          <w:sz w:val="24"/>
          <w:szCs w:val="24"/>
        </w:rPr>
        <w:t>3) z uwzględnieniem zasad uniwersalnego projektowania w rozumieniu art. 2 Konwencji o prawach osób niepełnosprawnych, sporządzonej w Nowym Jorku dnia 13 grudnia 2006 r. (Dz. U. z 2012 r. poz. 1169 oraz z 2018 r. poz. 1217)</w:t>
      </w:r>
      <w:r w:rsidRPr="00AB5F7C">
        <w:rPr>
          <w:rFonts w:cs="Times New Roman"/>
          <w:sz w:val="24"/>
          <w:szCs w:val="24"/>
        </w:rPr>
        <w:t>.</w:t>
      </w:r>
    </w:p>
    <w:p w:rsidR="00870A63" w:rsidRPr="00AB5F7C" w:rsidRDefault="00870A63" w:rsidP="00113470">
      <w:pPr>
        <w:spacing w:line="360" w:lineRule="auto"/>
        <w:rPr>
          <w:rFonts w:cs="Times New Roman"/>
          <w:sz w:val="24"/>
          <w:szCs w:val="24"/>
        </w:rPr>
      </w:pPr>
      <w:r w:rsidRPr="00AB5F7C">
        <w:rPr>
          <w:rStyle w:val="markedcontent"/>
          <w:rFonts w:cs="Times New Roman"/>
          <w:sz w:val="24"/>
          <w:szCs w:val="24"/>
        </w:rPr>
        <w:t xml:space="preserve"> Partycypacja społeczna obejmuje przygotowanie, prowadzenie i ocenę rewitalizacji w sposób zapewniający aktywny udział </w:t>
      </w:r>
      <w:proofErr w:type="spellStart"/>
      <w:r w:rsidRPr="00AB5F7C">
        <w:rPr>
          <w:rStyle w:val="markedcontent"/>
          <w:rFonts w:cs="Times New Roman"/>
          <w:sz w:val="24"/>
          <w:szCs w:val="24"/>
        </w:rPr>
        <w:t>interesariuszy</w:t>
      </w:r>
      <w:proofErr w:type="spellEnd"/>
      <w:r w:rsidRPr="00AB5F7C">
        <w:rPr>
          <w:rStyle w:val="markedcontent"/>
          <w:rFonts w:cs="Times New Roman"/>
          <w:sz w:val="24"/>
          <w:szCs w:val="24"/>
        </w:rPr>
        <w:t>, w tym poprzez uczestnictwo w konsultacjach społecznych oraz w pracach Komitetu Rewitalizacji.</w:t>
      </w:r>
      <w:r w:rsidRPr="00AB5F7C">
        <w:rPr>
          <w:rFonts w:cs="Times New Roman"/>
          <w:sz w:val="24"/>
          <w:szCs w:val="24"/>
        </w:rPr>
        <w:br/>
      </w:r>
      <w:r w:rsidRPr="00AB5F7C">
        <w:rPr>
          <w:rStyle w:val="markedcontent"/>
          <w:rFonts w:cs="Times New Roman"/>
          <w:sz w:val="24"/>
          <w:szCs w:val="24"/>
        </w:rPr>
        <w:t>Przygotowanie, prowadzenie i ocena rewitalizacji, polegają w szczególności na:</w:t>
      </w:r>
      <w:r w:rsidRPr="00AB5F7C">
        <w:rPr>
          <w:rFonts w:cs="Times New Roman"/>
          <w:sz w:val="24"/>
          <w:szCs w:val="24"/>
        </w:rPr>
        <w:br/>
      </w:r>
      <w:r w:rsidRPr="00AB5F7C">
        <w:rPr>
          <w:rStyle w:val="markedcontent"/>
          <w:rFonts w:cs="Times New Roman"/>
          <w:sz w:val="24"/>
          <w:szCs w:val="24"/>
        </w:rPr>
        <w:t xml:space="preserve">1) poznaniu potrzeb i oczekiwań </w:t>
      </w:r>
      <w:proofErr w:type="spellStart"/>
      <w:r w:rsidRPr="00AB5F7C">
        <w:rPr>
          <w:rStyle w:val="markedcontent"/>
          <w:rFonts w:cs="Times New Roman"/>
          <w:sz w:val="24"/>
          <w:szCs w:val="24"/>
        </w:rPr>
        <w:t>interesariuszy</w:t>
      </w:r>
      <w:proofErr w:type="spellEnd"/>
      <w:r w:rsidRPr="00AB5F7C">
        <w:rPr>
          <w:rStyle w:val="markedcontent"/>
          <w:rFonts w:cs="Times New Roman"/>
          <w:sz w:val="24"/>
          <w:szCs w:val="24"/>
        </w:rPr>
        <w:t xml:space="preserve"> oraz dążeniu do spójności planowanych działań z tymi potrzebami i oczekiwaniami;</w:t>
      </w:r>
      <w:r w:rsidRPr="00AB5F7C">
        <w:rPr>
          <w:rFonts w:cs="Times New Roman"/>
          <w:sz w:val="24"/>
          <w:szCs w:val="24"/>
        </w:rPr>
        <w:br/>
      </w:r>
      <w:r w:rsidRPr="00AB5F7C">
        <w:rPr>
          <w:rStyle w:val="markedcontent"/>
          <w:rFonts w:cs="Times New Roman"/>
          <w:sz w:val="24"/>
          <w:szCs w:val="24"/>
        </w:rPr>
        <w:t xml:space="preserve">2) prowadzeniu, skierowanych do </w:t>
      </w:r>
      <w:proofErr w:type="spellStart"/>
      <w:r w:rsidRPr="00AB5F7C">
        <w:rPr>
          <w:rStyle w:val="markedcontent"/>
          <w:rFonts w:cs="Times New Roman"/>
          <w:sz w:val="24"/>
          <w:szCs w:val="24"/>
        </w:rPr>
        <w:t>interesariuszy</w:t>
      </w:r>
      <w:proofErr w:type="spellEnd"/>
      <w:r w:rsidRPr="00AB5F7C">
        <w:rPr>
          <w:rStyle w:val="markedcontent"/>
          <w:rFonts w:cs="Times New Roman"/>
          <w:sz w:val="24"/>
          <w:szCs w:val="24"/>
        </w:rPr>
        <w:t>, działań edukacyjnych i informacyjnych o procesie rewitalizacji, w tym</w:t>
      </w:r>
      <w:r w:rsidR="005A226B" w:rsidRPr="00AB5F7C">
        <w:rPr>
          <w:rFonts w:cs="Times New Roman"/>
          <w:sz w:val="24"/>
          <w:szCs w:val="24"/>
        </w:rPr>
        <w:t xml:space="preserve"> </w:t>
      </w:r>
      <w:r w:rsidRPr="00AB5F7C">
        <w:rPr>
          <w:rStyle w:val="markedcontent"/>
          <w:rFonts w:cs="Times New Roman"/>
          <w:sz w:val="24"/>
          <w:szCs w:val="24"/>
        </w:rPr>
        <w:t>o istocie, celach, zasadach prowadzenia rewitalizacji, wynikających z ustawy, oraz o przebiegu tego procesu;</w:t>
      </w:r>
      <w:r w:rsidRPr="00AB5F7C">
        <w:rPr>
          <w:rFonts w:cs="Times New Roman"/>
          <w:sz w:val="24"/>
          <w:szCs w:val="24"/>
        </w:rPr>
        <w:br/>
      </w:r>
      <w:r w:rsidRPr="00AB5F7C">
        <w:rPr>
          <w:rStyle w:val="markedcontent"/>
          <w:rFonts w:cs="Times New Roman"/>
          <w:sz w:val="24"/>
          <w:szCs w:val="24"/>
        </w:rPr>
        <w:t xml:space="preserve">3) inicjowaniu, umożliwianiu i wspieraniu działań służących rozwijaniu dialogu między </w:t>
      </w:r>
      <w:proofErr w:type="spellStart"/>
      <w:r w:rsidRPr="00AB5F7C">
        <w:rPr>
          <w:rStyle w:val="markedcontent"/>
          <w:rFonts w:cs="Times New Roman"/>
          <w:sz w:val="24"/>
          <w:szCs w:val="24"/>
        </w:rPr>
        <w:t>interesariuszami</w:t>
      </w:r>
      <w:proofErr w:type="spellEnd"/>
      <w:r w:rsidRPr="00AB5F7C">
        <w:rPr>
          <w:rStyle w:val="markedcontent"/>
          <w:rFonts w:cs="Times New Roman"/>
          <w:sz w:val="24"/>
          <w:szCs w:val="24"/>
        </w:rPr>
        <w:t xml:space="preserve"> oraz ich integracji wokół rewitalizacji;</w:t>
      </w:r>
      <w:r w:rsidRPr="00AB5F7C">
        <w:rPr>
          <w:rFonts w:cs="Times New Roman"/>
          <w:sz w:val="24"/>
          <w:szCs w:val="24"/>
        </w:rPr>
        <w:br/>
      </w:r>
      <w:r w:rsidRPr="00AB5F7C">
        <w:rPr>
          <w:rStyle w:val="markedcontent"/>
          <w:rFonts w:cs="Times New Roman"/>
          <w:sz w:val="24"/>
          <w:szCs w:val="24"/>
        </w:rPr>
        <w:t xml:space="preserve">4) zapewnieniu udziału </w:t>
      </w:r>
      <w:proofErr w:type="spellStart"/>
      <w:r w:rsidRPr="00AB5F7C">
        <w:rPr>
          <w:rStyle w:val="markedcontent"/>
          <w:rFonts w:cs="Times New Roman"/>
          <w:sz w:val="24"/>
          <w:szCs w:val="24"/>
        </w:rPr>
        <w:t>interesariuszy</w:t>
      </w:r>
      <w:proofErr w:type="spellEnd"/>
      <w:r w:rsidRPr="00AB5F7C">
        <w:rPr>
          <w:rStyle w:val="markedcontent"/>
          <w:rFonts w:cs="Times New Roman"/>
          <w:sz w:val="24"/>
          <w:szCs w:val="24"/>
        </w:rPr>
        <w:t xml:space="preserve"> w przygotowaniu dokumentów dotyczących rewitalizacji, w szczególności gminnego programu rewitalizacji;</w:t>
      </w:r>
      <w:r w:rsidRPr="00AB5F7C">
        <w:rPr>
          <w:rFonts w:cs="Times New Roman"/>
          <w:sz w:val="24"/>
          <w:szCs w:val="24"/>
        </w:rPr>
        <w:br/>
      </w:r>
      <w:r w:rsidRPr="00AB5F7C">
        <w:rPr>
          <w:rStyle w:val="markedcontent"/>
          <w:rFonts w:cs="Times New Roman"/>
          <w:sz w:val="24"/>
          <w:szCs w:val="24"/>
        </w:rPr>
        <w:t xml:space="preserve">5) wspieraniu inicjatyw zmierzających do zwiększania udziału </w:t>
      </w:r>
      <w:proofErr w:type="spellStart"/>
      <w:r w:rsidRPr="00AB5F7C">
        <w:rPr>
          <w:rStyle w:val="markedcontent"/>
          <w:rFonts w:cs="Times New Roman"/>
          <w:sz w:val="24"/>
          <w:szCs w:val="24"/>
        </w:rPr>
        <w:t>interesariuszy</w:t>
      </w:r>
      <w:proofErr w:type="spellEnd"/>
      <w:r w:rsidRPr="00AB5F7C">
        <w:rPr>
          <w:rStyle w:val="markedcontent"/>
          <w:rFonts w:cs="Times New Roman"/>
          <w:sz w:val="24"/>
          <w:szCs w:val="24"/>
        </w:rPr>
        <w:t xml:space="preserve"> w przygotowaniu i realizacji gminnego</w:t>
      </w:r>
      <w:r w:rsidR="005A226B" w:rsidRPr="00AB5F7C">
        <w:rPr>
          <w:rFonts w:cs="Times New Roman"/>
          <w:sz w:val="24"/>
          <w:szCs w:val="24"/>
        </w:rPr>
        <w:t xml:space="preserve"> </w:t>
      </w:r>
      <w:r w:rsidRPr="00AB5F7C">
        <w:rPr>
          <w:rStyle w:val="markedcontent"/>
          <w:rFonts w:cs="Times New Roman"/>
          <w:sz w:val="24"/>
          <w:szCs w:val="24"/>
        </w:rPr>
        <w:t>programu rewitalizacji;</w:t>
      </w:r>
      <w:r w:rsidRPr="00AB5F7C">
        <w:rPr>
          <w:rFonts w:cs="Times New Roman"/>
          <w:sz w:val="24"/>
          <w:szCs w:val="24"/>
        </w:rPr>
        <w:br/>
      </w:r>
      <w:r w:rsidRPr="00AB5F7C">
        <w:rPr>
          <w:rStyle w:val="markedcontent"/>
          <w:rFonts w:cs="Times New Roman"/>
          <w:sz w:val="24"/>
          <w:szCs w:val="24"/>
        </w:rPr>
        <w:t xml:space="preserve">6) zapewnieniu w czasie przygotowania, prowadzenia i oceny rewitalizacji możliwości wypowiedzenia się przez </w:t>
      </w:r>
      <w:proofErr w:type="spellStart"/>
      <w:r w:rsidRPr="00AB5F7C">
        <w:rPr>
          <w:rStyle w:val="markedcontent"/>
          <w:rFonts w:cs="Times New Roman"/>
          <w:sz w:val="24"/>
          <w:szCs w:val="24"/>
        </w:rPr>
        <w:t>interesariuszy</w:t>
      </w:r>
      <w:proofErr w:type="spellEnd"/>
      <w:r w:rsidRPr="00AB5F7C">
        <w:rPr>
          <w:rStyle w:val="markedcontent"/>
          <w:rFonts w:cs="Times New Roman"/>
          <w:sz w:val="24"/>
          <w:szCs w:val="24"/>
        </w:rPr>
        <w:t>.</w:t>
      </w:r>
      <w:r w:rsidRPr="00AB5F7C">
        <w:rPr>
          <w:rFonts w:cs="Times New Roman"/>
          <w:sz w:val="24"/>
          <w:szCs w:val="24"/>
        </w:rPr>
        <w:br/>
      </w:r>
      <w:r w:rsidRPr="00AB5F7C">
        <w:rPr>
          <w:rStyle w:val="markedcontent"/>
          <w:rFonts w:cs="Times New Roman"/>
          <w:sz w:val="24"/>
          <w:szCs w:val="24"/>
        </w:rPr>
        <w:lastRenderedPageBreak/>
        <w:t>3. W toku przygotowania, prowadzenia i oceny rewitalizacji dąży się, aby działania</w:t>
      </w:r>
      <w:r w:rsidR="005A226B" w:rsidRPr="00AB5F7C">
        <w:rPr>
          <w:rStyle w:val="markedcontent"/>
          <w:rFonts w:cs="Times New Roman"/>
          <w:sz w:val="24"/>
          <w:szCs w:val="24"/>
        </w:rPr>
        <w:t xml:space="preserve"> partycypacji społecznej</w:t>
      </w:r>
      <w:r w:rsidRPr="00AB5F7C">
        <w:rPr>
          <w:rStyle w:val="markedcontent"/>
          <w:rFonts w:cs="Times New Roman"/>
          <w:sz w:val="24"/>
          <w:szCs w:val="24"/>
        </w:rPr>
        <w:t xml:space="preserve">, skutkowały wypowiedzeniem się przez wszystkich </w:t>
      </w:r>
      <w:proofErr w:type="spellStart"/>
      <w:r w:rsidRPr="00AB5F7C">
        <w:rPr>
          <w:rStyle w:val="markedcontent"/>
          <w:rFonts w:cs="Times New Roman"/>
          <w:sz w:val="24"/>
          <w:szCs w:val="24"/>
        </w:rPr>
        <w:t>interesariuszy</w:t>
      </w:r>
      <w:proofErr w:type="spellEnd"/>
      <w:r w:rsidRPr="00AB5F7C">
        <w:rPr>
          <w:rStyle w:val="markedcontent"/>
          <w:rFonts w:cs="Times New Roman"/>
          <w:sz w:val="24"/>
          <w:szCs w:val="24"/>
        </w:rPr>
        <w:t xml:space="preserve">, oraz wszystkich </w:t>
      </w:r>
      <w:proofErr w:type="spellStart"/>
      <w:r w:rsidRPr="00AB5F7C">
        <w:rPr>
          <w:rStyle w:val="markedcontent"/>
          <w:rFonts w:cs="Times New Roman"/>
          <w:sz w:val="24"/>
          <w:szCs w:val="24"/>
        </w:rPr>
        <w:t>interesariuszy</w:t>
      </w:r>
      <w:proofErr w:type="spellEnd"/>
      <w:r w:rsidRPr="00AB5F7C">
        <w:rPr>
          <w:rStyle w:val="markedcontent"/>
          <w:rFonts w:cs="Times New Roman"/>
          <w:sz w:val="24"/>
          <w:szCs w:val="24"/>
        </w:rPr>
        <w:t xml:space="preserve"> prowadzących na obszarze rewitalizacji działalność, </w:t>
      </w:r>
    </w:p>
    <w:p w:rsidR="00870A63" w:rsidRPr="00AB5F7C" w:rsidRDefault="00870A63" w:rsidP="00113470">
      <w:pPr>
        <w:spacing w:line="360" w:lineRule="auto"/>
        <w:jc w:val="both"/>
        <w:rPr>
          <w:rFonts w:cs="Times New Roman"/>
          <w:sz w:val="24"/>
          <w:szCs w:val="24"/>
        </w:rPr>
      </w:pPr>
      <w:proofErr w:type="spellStart"/>
      <w:r w:rsidRPr="00AB5F7C">
        <w:rPr>
          <w:rFonts w:cs="Times New Roman"/>
          <w:sz w:val="24"/>
          <w:szCs w:val="24"/>
        </w:rPr>
        <w:t>Interesariuszami</w:t>
      </w:r>
      <w:proofErr w:type="spellEnd"/>
      <w:r w:rsidRPr="00AB5F7C">
        <w:rPr>
          <w:rFonts w:cs="Times New Roman"/>
          <w:sz w:val="24"/>
          <w:szCs w:val="24"/>
        </w:rPr>
        <w:t xml:space="preserve"> rewitalizacji zgodnie z ustawą (Art. 2 ust. 2) są:</w:t>
      </w:r>
    </w:p>
    <w:p w:rsidR="005A226B" w:rsidRPr="00AB5F7C" w:rsidRDefault="00870A63" w:rsidP="005A226B">
      <w:pPr>
        <w:pStyle w:val="Akapitzlist"/>
        <w:numPr>
          <w:ilvl w:val="0"/>
          <w:numId w:val="3"/>
        </w:numPr>
        <w:spacing w:line="360" w:lineRule="auto"/>
        <w:rPr>
          <w:rStyle w:val="markedcontent"/>
          <w:rFonts w:cs="Times New Roman"/>
          <w:sz w:val="24"/>
          <w:szCs w:val="24"/>
        </w:rPr>
      </w:pPr>
      <w:r w:rsidRPr="00AB5F7C">
        <w:rPr>
          <w:rStyle w:val="markedcontent"/>
          <w:rFonts w:cs="Times New Roman"/>
          <w:sz w:val="24"/>
          <w:szCs w:val="24"/>
        </w:rPr>
        <w:t>mieszkańcy obszaru rewitalizacji oraz właściciele, uż</w:t>
      </w:r>
      <w:r w:rsidR="005A226B" w:rsidRPr="00AB5F7C">
        <w:rPr>
          <w:rStyle w:val="markedcontent"/>
          <w:rFonts w:cs="Times New Roman"/>
          <w:sz w:val="24"/>
          <w:szCs w:val="24"/>
        </w:rPr>
        <w:t xml:space="preserve">ytkownicy wieczyści </w:t>
      </w:r>
      <w:r w:rsidRPr="00AB5F7C">
        <w:rPr>
          <w:rStyle w:val="markedcontent"/>
          <w:rFonts w:cs="Times New Roman"/>
          <w:sz w:val="24"/>
          <w:szCs w:val="24"/>
        </w:rPr>
        <w:t>nieruchomości i podmioty zarządzające</w:t>
      </w:r>
      <w:r w:rsidR="005A226B" w:rsidRPr="00AB5F7C">
        <w:rPr>
          <w:rFonts w:cs="Times New Roman"/>
          <w:sz w:val="24"/>
          <w:szCs w:val="24"/>
        </w:rPr>
        <w:t xml:space="preserve"> </w:t>
      </w:r>
      <w:r w:rsidRPr="00AB5F7C">
        <w:rPr>
          <w:rStyle w:val="markedcontent"/>
          <w:rFonts w:cs="Times New Roman"/>
          <w:sz w:val="24"/>
          <w:szCs w:val="24"/>
        </w:rPr>
        <w:t>nieruchomościami znajdującymi się na tym obszarze, w tym spółdzielnie mieszkaniowe, wspólnoty mieszkaniowe, społeczne inicjatywy mieszkaniowe i towarzystwa budownictwa społecznego;</w:t>
      </w:r>
    </w:p>
    <w:p w:rsidR="005A226B" w:rsidRPr="00AB5F7C" w:rsidRDefault="00870A63" w:rsidP="005A226B">
      <w:pPr>
        <w:pStyle w:val="Akapitzlist"/>
        <w:numPr>
          <w:ilvl w:val="0"/>
          <w:numId w:val="3"/>
        </w:numPr>
        <w:spacing w:line="360" w:lineRule="auto"/>
        <w:rPr>
          <w:rStyle w:val="markedcontent"/>
          <w:rFonts w:cs="Times New Roman"/>
          <w:sz w:val="24"/>
          <w:szCs w:val="24"/>
        </w:rPr>
      </w:pPr>
      <w:r w:rsidRPr="00AB5F7C">
        <w:rPr>
          <w:rStyle w:val="markedcontent"/>
          <w:rFonts w:cs="Times New Roman"/>
          <w:sz w:val="24"/>
          <w:szCs w:val="24"/>
        </w:rPr>
        <w:t xml:space="preserve">mieszkańcy gminy inni niż wymienieni w </w:t>
      </w:r>
      <w:proofErr w:type="spellStart"/>
      <w:r w:rsidRPr="00AB5F7C">
        <w:rPr>
          <w:rStyle w:val="markedcontent"/>
          <w:rFonts w:cs="Times New Roman"/>
          <w:sz w:val="24"/>
          <w:szCs w:val="24"/>
        </w:rPr>
        <w:t>pkt</w:t>
      </w:r>
      <w:proofErr w:type="spellEnd"/>
      <w:r w:rsidRPr="00AB5F7C">
        <w:rPr>
          <w:rStyle w:val="markedcontent"/>
          <w:rFonts w:cs="Times New Roman"/>
          <w:sz w:val="24"/>
          <w:szCs w:val="24"/>
        </w:rPr>
        <w:t xml:space="preserve"> 1;</w:t>
      </w:r>
    </w:p>
    <w:p w:rsidR="005A226B" w:rsidRPr="00AB5F7C" w:rsidRDefault="00870A63" w:rsidP="005A226B">
      <w:pPr>
        <w:pStyle w:val="Akapitzlist"/>
        <w:numPr>
          <w:ilvl w:val="0"/>
          <w:numId w:val="3"/>
        </w:numPr>
        <w:spacing w:line="360" w:lineRule="auto"/>
        <w:rPr>
          <w:rStyle w:val="markedcontent"/>
          <w:rFonts w:cs="Times New Roman"/>
          <w:sz w:val="24"/>
          <w:szCs w:val="24"/>
        </w:rPr>
      </w:pPr>
      <w:r w:rsidRPr="00AB5F7C">
        <w:rPr>
          <w:rStyle w:val="markedcontent"/>
          <w:rFonts w:cs="Times New Roman"/>
          <w:sz w:val="24"/>
          <w:szCs w:val="24"/>
        </w:rPr>
        <w:t xml:space="preserve"> podmioty prowadzące lub zamierzające prowadzić na obszarze gminy działalność gospodarczą;</w:t>
      </w:r>
    </w:p>
    <w:p w:rsidR="005A226B" w:rsidRPr="00AB5F7C" w:rsidRDefault="00870A63" w:rsidP="005A226B">
      <w:pPr>
        <w:pStyle w:val="Akapitzlist"/>
        <w:numPr>
          <w:ilvl w:val="0"/>
          <w:numId w:val="3"/>
        </w:numPr>
        <w:spacing w:line="360" w:lineRule="auto"/>
        <w:rPr>
          <w:rStyle w:val="markedcontent"/>
          <w:rFonts w:cs="Times New Roman"/>
          <w:sz w:val="24"/>
          <w:szCs w:val="24"/>
        </w:rPr>
      </w:pPr>
      <w:r w:rsidRPr="00AB5F7C">
        <w:rPr>
          <w:rStyle w:val="markedcontent"/>
          <w:rFonts w:cs="Times New Roman"/>
          <w:sz w:val="24"/>
          <w:szCs w:val="24"/>
        </w:rPr>
        <w:t xml:space="preserve"> podmioty prowadzące lub zamierzające prowadzić na obszarze gminy działalność społeczną, w tym organizacje pozarządowe i grupy nieformalne;</w:t>
      </w:r>
    </w:p>
    <w:p w:rsidR="005A226B" w:rsidRPr="00AB5F7C" w:rsidRDefault="00870A63" w:rsidP="005A226B">
      <w:pPr>
        <w:pStyle w:val="Akapitzlist"/>
        <w:numPr>
          <w:ilvl w:val="0"/>
          <w:numId w:val="3"/>
        </w:numPr>
        <w:spacing w:line="360" w:lineRule="auto"/>
        <w:rPr>
          <w:rStyle w:val="markedcontent"/>
          <w:rFonts w:cs="Times New Roman"/>
          <w:sz w:val="24"/>
          <w:szCs w:val="24"/>
        </w:rPr>
      </w:pPr>
      <w:r w:rsidRPr="00AB5F7C">
        <w:rPr>
          <w:rStyle w:val="markedcontent"/>
          <w:rFonts w:cs="Times New Roman"/>
          <w:sz w:val="24"/>
          <w:szCs w:val="24"/>
        </w:rPr>
        <w:t xml:space="preserve"> jednostki samorządu terytorialnego i ich jednostki organizacyjne;</w:t>
      </w:r>
    </w:p>
    <w:p w:rsidR="005A226B" w:rsidRPr="00AB5F7C" w:rsidRDefault="00870A63" w:rsidP="005A226B">
      <w:pPr>
        <w:pStyle w:val="Akapitzlist"/>
        <w:numPr>
          <w:ilvl w:val="0"/>
          <w:numId w:val="3"/>
        </w:numPr>
        <w:spacing w:line="360" w:lineRule="auto"/>
        <w:rPr>
          <w:rStyle w:val="markedcontent"/>
          <w:rFonts w:cs="Times New Roman"/>
          <w:sz w:val="24"/>
          <w:szCs w:val="24"/>
        </w:rPr>
      </w:pPr>
      <w:r w:rsidRPr="00AB5F7C">
        <w:rPr>
          <w:rStyle w:val="markedcontent"/>
          <w:rFonts w:cs="Times New Roman"/>
          <w:sz w:val="24"/>
          <w:szCs w:val="24"/>
        </w:rPr>
        <w:t xml:space="preserve"> organy władzy publicznej</w:t>
      </w:r>
      <w:r w:rsidR="005A226B" w:rsidRPr="00AB5F7C">
        <w:rPr>
          <w:rStyle w:val="markedcontent"/>
          <w:rFonts w:cs="Times New Roman"/>
          <w:sz w:val="24"/>
          <w:szCs w:val="24"/>
        </w:rPr>
        <w:t>;</w:t>
      </w:r>
    </w:p>
    <w:p w:rsidR="00FC0D98" w:rsidRPr="00AB5F7C" w:rsidRDefault="00870A63" w:rsidP="005A226B">
      <w:pPr>
        <w:pStyle w:val="Akapitzlist"/>
        <w:numPr>
          <w:ilvl w:val="0"/>
          <w:numId w:val="3"/>
        </w:numPr>
        <w:spacing w:line="360" w:lineRule="auto"/>
        <w:rPr>
          <w:rStyle w:val="markedcontent"/>
          <w:rFonts w:cs="Times New Roman"/>
          <w:sz w:val="24"/>
          <w:szCs w:val="24"/>
        </w:rPr>
      </w:pPr>
      <w:r w:rsidRPr="00AB5F7C">
        <w:rPr>
          <w:rStyle w:val="markedcontent"/>
          <w:rFonts w:cs="Times New Roman"/>
          <w:sz w:val="24"/>
          <w:szCs w:val="24"/>
        </w:rPr>
        <w:t xml:space="preserve"> podmioty, inne niż wymienione w </w:t>
      </w:r>
      <w:proofErr w:type="spellStart"/>
      <w:r w:rsidRPr="00AB5F7C">
        <w:rPr>
          <w:rStyle w:val="markedcontent"/>
          <w:rFonts w:cs="Times New Roman"/>
          <w:sz w:val="24"/>
          <w:szCs w:val="24"/>
        </w:rPr>
        <w:t>pkt</w:t>
      </w:r>
      <w:proofErr w:type="spellEnd"/>
      <w:r w:rsidR="005A226B" w:rsidRPr="00AB5F7C">
        <w:rPr>
          <w:rStyle w:val="markedcontent"/>
          <w:rFonts w:cs="Times New Roman"/>
          <w:sz w:val="24"/>
          <w:szCs w:val="24"/>
        </w:rPr>
        <w:t xml:space="preserve"> powyżej</w:t>
      </w:r>
      <w:r w:rsidRPr="00AB5F7C">
        <w:rPr>
          <w:rStyle w:val="markedcontent"/>
          <w:rFonts w:cs="Times New Roman"/>
          <w:sz w:val="24"/>
          <w:szCs w:val="24"/>
        </w:rPr>
        <w:t>, realizujące na obszarze rewitalizacji uprawnienia Skarbu Państwa.</w:t>
      </w:r>
    </w:p>
    <w:p w:rsidR="00870A63" w:rsidRPr="00AB5F7C" w:rsidRDefault="00870A63" w:rsidP="00113470">
      <w:pPr>
        <w:spacing w:line="360" w:lineRule="auto"/>
        <w:jc w:val="both"/>
        <w:rPr>
          <w:rFonts w:cs="Times New Roman"/>
          <w:sz w:val="24"/>
          <w:szCs w:val="24"/>
        </w:rPr>
      </w:pPr>
      <w:r w:rsidRPr="00AB5F7C">
        <w:rPr>
          <w:rFonts w:cs="Times New Roman"/>
          <w:sz w:val="24"/>
          <w:szCs w:val="24"/>
        </w:rPr>
        <w:t>Jedną z form partycypacji społecznych są konsultacje społeczne, które prowadzi wójt, burmistrz albo</w:t>
      </w:r>
      <w:r w:rsidR="005A226B" w:rsidRPr="00AB5F7C">
        <w:rPr>
          <w:rFonts w:cs="Times New Roman"/>
          <w:sz w:val="24"/>
          <w:szCs w:val="24"/>
        </w:rPr>
        <w:t xml:space="preserve"> </w:t>
      </w:r>
      <w:r w:rsidRPr="00AB5F7C">
        <w:rPr>
          <w:rFonts w:cs="Times New Roman"/>
          <w:sz w:val="24"/>
          <w:szCs w:val="24"/>
        </w:rPr>
        <w:t xml:space="preserve">prezydent miasta (Art. 6 ust. 1) – w tym przypadku Burmistrz Gminy Ciechanowiec. </w:t>
      </w:r>
    </w:p>
    <w:p w:rsidR="00870A63" w:rsidRPr="00AB5F7C" w:rsidRDefault="00870A63" w:rsidP="00113470">
      <w:pPr>
        <w:spacing w:line="360" w:lineRule="auto"/>
        <w:jc w:val="both"/>
        <w:rPr>
          <w:rStyle w:val="markedcontent"/>
          <w:rFonts w:cs="Times New Roman"/>
          <w:sz w:val="24"/>
          <w:szCs w:val="24"/>
        </w:rPr>
      </w:pPr>
      <w:r w:rsidRPr="00AB5F7C">
        <w:rPr>
          <w:rFonts w:cs="Times New Roman"/>
          <w:sz w:val="24"/>
          <w:szCs w:val="24"/>
        </w:rPr>
        <w:t>Konsultacje</w:t>
      </w:r>
      <w:r w:rsidR="005A226B" w:rsidRPr="00AB5F7C">
        <w:rPr>
          <w:rFonts w:cs="Times New Roman"/>
          <w:sz w:val="24"/>
          <w:szCs w:val="24"/>
        </w:rPr>
        <w:t xml:space="preserve"> </w:t>
      </w:r>
      <w:r w:rsidRPr="00AB5F7C">
        <w:rPr>
          <w:rFonts w:cs="Times New Roman"/>
          <w:sz w:val="24"/>
          <w:szCs w:val="24"/>
        </w:rPr>
        <w:t>społeczne przeprowadza się zgodnie z rozdziałem 2 ustawy z dnia 9 października 2015 r. o</w:t>
      </w:r>
      <w:r w:rsidR="005A226B" w:rsidRPr="00AB5F7C">
        <w:rPr>
          <w:rFonts w:cs="Times New Roman"/>
          <w:sz w:val="24"/>
          <w:szCs w:val="24"/>
        </w:rPr>
        <w:t xml:space="preserve"> </w:t>
      </w:r>
      <w:r w:rsidRPr="00AB5F7C">
        <w:rPr>
          <w:rFonts w:cs="Times New Roman"/>
          <w:sz w:val="24"/>
          <w:szCs w:val="24"/>
        </w:rPr>
        <w:t>rewitalizacji (</w:t>
      </w:r>
      <w:r w:rsidRPr="00AB5F7C">
        <w:rPr>
          <w:rStyle w:val="markedcontent"/>
          <w:rFonts w:cs="Times New Roman"/>
          <w:sz w:val="24"/>
          <w:szCs w:val="24"/>
        </w:rPr>
        <w:t>Dz. U. 2021 poz. 485)</w:t>
      </w:r>
      <w:r w:rsidR="00762109" w:rsidRPr="00AB5F7C">
        <w:rPr>
          <w:rStyle w:val="markedcontent"/>
          <w:rFonts w:cs="Times New Roman"/>
          <w:sz w:val="24"/>
          <w:szCs w:val="24"/>
        </w:rPr>
        <w:t xml:space="preserve">oraz </w:t>
      </w:r>
      <w:r w:rsidR="00762109" w:rsidRPr="00AB5F7C">
        <w:rPr>
          <w:rFonts w:cs="Times New Roman"/>
          <w:sz w:val="24"/>
          <w:szCs w:val="24"/>
        </w:rPr>
        <w:t>art. 30 ust. 1 ustawy z dnia 8 marca 1990 r. o samorządzie gminnym (</w:t>
      </w:r>
      <w:proofErr w:type="spellStart"/>
      <w:r w:rsidR="00762109" w:rsidRPr="00AB5F7C">
        <w:rPr>
          <w:rFonts w:cs="Times New Roman"/>
          <w:sz w:val="24"/>
          <w:szCs w:val="24"/>
        </w:rPr>
        <w:t>t.j</w:t>
      </w:r>
      <w:proofErr w:type="spellEnd"/>
      <w:r w:rsidR="00762109" w:rsidRPr="00AB5F7C">
        <w:rPr>
          <w:rFonts w:cs="Times New Roman"/>
          <w:sz w:val="24"/>
          <w:szCs w:val="24"/>
        </w:rPr>
        <w:t xml:space="preserve">. </w:t>
      </w:r>
      <w:proofErr w:type="spellStart"/>
      <w:r w:rsidR="00762109" w:rsidRPr="00AB5F7C">
        <w:rPr>
          <w:rFonts w:cs="Times New Roman"/>
          <w:sz w:val="24"/>
          <w:szCs w:val="24"/>
        </w:rPr>
        <w:t>Dz.U</w:t>
      </w:r>
      <w:proofErr w:type="spellEnd"/>
      <w:r w:rsidR="00762109" w:rsidRPr="00AB5F7C">
        <w:rPr>
          <w:rFonts w:cs="Times New Roman"/>
          <w:sz w:val="24"/>
          <w:szCs w:val="24"/>
        </w:rPr>
        <w:t>. 2021 r. poz. 1372)</w:t>
      </w:r>
    </w:p>
    <w:p w:rsidR="00762109" w:rsidRPr="00AB5F7C" w:rsidRDefault="005A226B" w:rsidP="005A226B">
      <w:pPr>
        <w:pStyle w:val="Nagwek1"/>
        <w:numPr>
          <w:ilvl w:val="0"/>
          <w:numId w:val="5"/>
        </w:numPr>
        <w:rPr>
          <w:rStyle w:val="markedcontent"/>
          <w:rFonts w:asciiTheme="minorHAnsi" w:hAnsiTheme="minorHAnsi"/>
          <w:szCs w:val="30"/>
        </w:rPr>
      </w:pPr>
      <w:bookmarkStart w:id="1" w:name="_Toc103940036"/>
      <w:r w:rsidRPr="00AB5F7C">
        <w:rPr>
          <w:rStyle w:val="markedcontent"/>
          <w:rFonts w:asciiTheme="minorHAnsi" w:hAnsiTheme="minorHAnsi"/>
          <w:szCs w:val="30"/>
        </w:rPr>
        <w:t>Formy konsultacji</w:t>
      </w:r>
      <w:bookmarkEnd w:id="1"/>
    </w:p>
    <w:p w:rsidR="00762109" w:rsidRPr="00AB5F7C" w:rsidRDefault="00762109" w:rsidP="00113470">
      <w:pPr>
        <w:spacing w:line="360" w:lineRule="auto"/>
        <w:jc w:val="both"/>
        <w:rPr>
          <w:rFonts w:cs="Times New Roman"/>
          <w:sz w:val="24"/>
          <w:szCs w:val="24"/>
        </w:rPr>
      </w:pPr>
      <w:r w:rsidRPr="00AB5F7C">
        <w:rPr>
          <w:rFonts w:cs="Times New Roman"/>
          <w:sz w:val="24"/>
          <w:szCs w:val="24"/>
        </w:rPr>
        <w:t>Przedmiotem konsultacji był projekt uchwały Rady Miejskiej w Ciechanowcu w sprawie</w:t>
      </w:r>
      <w:r w:rsidRPr="00AB5F7C">
        <w:rPr>
          <w:rFonts w:cs="Times New Roman"/>
          <w:sz w:val="24"/>
          <w:szCs w:val="24"/>
        </w:rPr>
        <w:br/>
        <w:t>wyznaczenia obszaru zdegradowanego i obszaru rewitalizacji dla Gminy Ciechanowiec.</w:t>
      </w:r>
    </w:p>
    <w:p w:rsidR="00762109" w:rsidRPr="00AB5F7C" w:rsidRDefault="00762109" w:rsidP="00113470">
      <w:pPr>
        <w:spacing w:line="360" w:lineRule="auto"/>
        <w:jc w:val="both"/>
        <w:rPr>
          <w:rFonts w:cs="Times New Roman"/>
          <w:sz w:val="24"/>
          <w:szCs w:val="24"/>
        </w:rPr>
      </w:pPr>
      <w:r w:rsidRPr="00AB5F7C">
        <w:rPr>
          <w:rFonts w:cs="Times New Roman"/>
          <w:sz w:val="24"/>
          <w:szCs w:val="24"/>
        </w:rPr>
        <w:lastRenderedPageBreak/>
        <w:t>O rozpoczęciu konsultacji społecznych oraz formach, w jakich były prowadzone, powiadomiono</w:t>
      </w:r>
      <w:r w:rsidR="005A226B" w:rsidRPr="00AB5F7C">
        <w:rPr>
          <w:rFonts w:cs="Times New Roman"/>
          <w:sz w:val="24"/>
          <w:szCs w:val="24"/>
        </w:rPr>
        <w:t xml:space="preserve"> </w:t>
      </w:r>
      <w:proofErr w:type="spellStart"/>
      <w:r w:rsidRPr="00AB5F7C">
        <w:rPr>
          <w:rFonts w:cs="Times New Roman"/>
          <w:sz w:val="24"/>
          <w:szCs w:val="24"/>
        </w:rPr>
        <w:t>interesariuszy</w:t>
      </w:r>
      <w:proofErr w:type="spellEnd"/>
      <w:r w:rsidRPr="00AB5F7C">
        <w:rPr>
          <w:rFonts w:cs="Times New Roman"/>
          <w:sz w:val="24"/>
          <w:szCs w:val="24"/>
        </w:rPr>
        <w:t xml:space="preserve"> w zarządzeniu z wyprzedzeniem 7 dni przed planowanym rozpoczęciem biegu</w:t>
      </w:r>
      <w:r w:rsidR="005A226B" w:rsidRPr="00AB5F7C">
        <w:rPr>
          <w:rFonts w:cs="Times New Roman"/>
          <w:sz w:val="24"/>
          <w:szCs w:val="24"/>
        </w:rPr>
        <w:t xml:space="preserve"> </w:t>
      </w:r>
      <w:r w:rsidRPr="00AB5F7C">
        <w:rPr>
          <w:rFonts w:cs="Times New Roman"/>
          <w:sz w:val="24"/>
          <w:szCs w:val="24"/>
        </w:rPr>
        <w:t>konsultacji społecznych.</w:t>
      </w:r>
    </w:p>
    <w:p w:rsidR="00762109" w:rsidRPr="00AB5F7C" w:rsidRDefault="00762109" w:rsidP="00113470">
      <w:pPr>
        <w:spacing w:before="100" w:beforeAutospacing="1" w:after="100" w:afterAutospacing="1" w:line="360" w:lineRule="auto"/>
        <w:jc w:val="both"/>
        <w:rPr>
          <w:rFonts w:eastAsia="Times New Roman" w:cs="Times New Roman"/>
          <w:sz w:val="24"/>
          <w:szCs w:val="24"/>
        </w:rPr>
      </w:pPr>
      <w:r w:rsidRPr="00AB5F7C">
        <w:rPr>
          <w:rFonts w:eastAsia="Times New Roman" w:cs="Times New Roman"/>
          <w:sz w:val="24"/>
          <w:szCs w:val="24"/>
        </w:rPr>
        <w:t>Konsultacje odbyły  się w terminie od dnia 12 kwietnia 2022 r. do dnia 13 maja 2022 r. w następujących formach:</w:t>
      </w:r>
    </w:p>
    <w:p w:rsidR="00762109" w:rsidRPr="00AB5F7C" w:rsidRDefault="00762109" w:rsidP="00113470">
      <w:pPr>
        <w:numPr>
          <w:ilvl w:val="0"/>
          <w:numId w:val="1"/>
        </w:numPr>
        <w:spacing w:before="100" w:beforeAutospacing="1" w:after="100" w:afterAutospacing="1" w:line="360" w:lineRule="auto"/>
        <w:jc w:val="both"/>
        <w:rPr>
          <w:rFonts w:eastAsia="Times New Roman" w:cs="Times New Roman"/>
          <w:sz w:val="24"/>
          <w:szCs w:val="24"/>
        </w:rPr>
      </w:pPr>
      <w:r w:rsidRPr="00AB5F7C">
        <w:rPr>
          <w:rFonts w:eastAsia="Times New Roman" w:cs="Times New Roman"/>
          <w:sz w:val="24"/>
          <w:szCs w:val="24"/>
        </w:rPr>
        <w:t xml:space="preserve">pisemnej i elektronicznej poprzez zamieszczenie formularza do pobrania na stronie BIP urzędu oraz na stronie www.ciechanowiec.pl. Opinie za pomocą pobranego formularza w sprawie projektu uchwały można było składać na adres e-mail </w:t>
      </w:r>
      <w:hyperlink r:id="rId8" w:history="1">
        <w:r w:rsidRPr="00AB5F7C">
          <w:rPr>
            <w:rFonts w:eastAsia="Times New Roman" w:cs="Times New Roman"/>
            <w:color w:val="0033FF"/>
            <w:sz w:val="24"/>
            <w:szCs w:val="24"/>
            <w:u w:val="single"/>
          </w:rPr>
          <w:t>wydruki@ciechanowiec.pl</w:t>
        </w:r>
      </w:hyperlink>
      <w:r w:rsidRPr="00AB5F7C">
        <w:rPr>
          <w:rFonts w:eastAsia="Times New Roman" w:cs="Times New Roman"/>
          <w:sz w:val="24"/>
          <w:szCs w:val="24"/>
        </w:rPr>
        <w:t xml:space="preserve"> lub formie pisemnej (osobiście, pocztą, kurierem itp.) w Urzędzie Miejskim w Ciechanowcu, ul. Mickiewicza 1</w:t>
      </w:r>
    </w:p>
    <w:p w:rsidR="00762109" w:rsidRPr="00AB5F7C" w:rsidRDefault="00762109" w:rsidP="00113470">
      <w:pPr>
        <w:numPr>
          <w:ilvl w:val="0"/>
          <w:numId w:val="1"/>
        </w:numPr>
        <w:spacing w:before="100" w:beforeAutospacing="1" w:after="100" w:afterAutospacing="1" w:line="360" w:lineRule="auto"/>
        <w:jc w:val="both"/>
        <w:rPr>
          <w:rFonts w:eastAsia="Times New Roman" w:cs="Times New Roman"/>
          <w:sz w:val="24"/>
          <w:szCs w:val="24"/>
        </w:rPr>
      </w:pPr>
      <w:r w:rsidRPr="00AB5F7C">
        <w:rPr>
          <w:rFonts w:eastAsia="Times New Roman" w:cs="Times New Roman"/>
          <w:sz w:val="24"/>
          <w:szCs w:val="24"/>
        </w:rPr>
        <w:t>otwartego spotkania konsultacyjnego, które odbyło się 21 kwietnia 2022 r. w Sali Widowiskowej Miejskiej Biblioteki Publicznej, w godz. od 10.00 do 12.00</w:t>
      </w:r>
    </w:p>
    <w:p w:rsidR="00762109" w:rsidRPr="00AB5F7C" w:rsidRDefault="00762109" w:rsidP="00113470">
      <w:pPr>
        <w:numPr>
          <w:ilvl w:val="0"/>
          <w:numId w:val="1"/>
        </w:numPr>
        <w:spacing w:before="100" w:beforeAutospacing="1" w:after="100" w:afterAutospacing="1" w:line="360" w:lineRule="auto"/>
        <w:jc w:val="both"/>
        <w:rPr>
          <w:rFonts w:eastAsia="Times New Roman" w:cs="Times New Roman"/>
          <w:sz w:val="24"/>
          <w:szCs w:val="24"/>
        </w:rPr>
      </w:pPr>
      <w:r w:rsidRPr="00AB5F7C">
        <w:rPr>
          <w:rFonts w:eastAsia="Times New Roman" w:cs="Times New Roman"/>
          <w:sz w:val="24"/>
          <w:szCs w:val="24"/>
        </w:rPr>
        <w:t>zbierania uwag ustnych w siedzibie Urzędu Miejskiego w Ciechanowcu, 18-230 Ciechanowiec, ul. Mickiewicza 1, w godzinach pracy urzędu: poniedziałek-piątek 7.30-15.30.</w:t>
      </w:r>
    </w:p>
    <w:p w:rsidR="00762109" w:rsidRPr="00AB5F7C" w:rsidRDefault="00762109" w:rsidP="005A226B">
      <w:pPr>
        <w:spacing w:before="100" w:beforeAutospacing="1" w:after="100" w:afterAutospacing="1" w:line="360" w:lineRule="auto"/>
        <w:rPr>
          <w:rFonts w:cs="Times New Roman"/>
          <w:sz w:val="24"/>
          <w:szCs w:val="24"/>
        </w:rPr>
      </w:pPr>
      <w:r w:rsidRPr="00AB5F7C">
        <w:rPr>
          <w:rFonts w:cs="Times New Roman"/>
          <w:sz w:val="24"/>
          <w:szCs w:val="24"/>
        </w:rPr>
        <w:t>Konsultacje miały na celu zebranie uwag i opinii odnośnie:</w:t>
      </w:r>
      <w:r w:rsidRPr="00AB5F7C">
        <w:rPr>
          <w:rFonts w:cs="Times New Roman"/>
          <w:sz w:val="24"/>
          <w:szCs w:val="24"/>
        </w:rPr>
        <w:br/>
      </w:r>
      <w:r w:rsidRPr="00AB5F7C">
        <w:rPr>
          <w:rFonts w:cs="Times New Roman"/>
          <w:sz w:val="24"/>
          <w:szCs w:val="24"/>
        </w:rPr>
        <w:sym w:font="Symbol" w:char="F0B7"/>
      </w:r>
      <w:r w:rsidRPr="00AB5F7C">
        <w:rPr>
          <w:rFonts w:cs="Times New Roman"/>
          <w:sz w:val="24"/>
          <w:szCs w:val="24"/>
        </w:rPr>
        <w:t xml:space="preserve"> projektu uchwały Rady Miejskiej</w:t>
      </w:r>
      <w:r w:rsidRPr="00AB5F7C">
        <w:rPr>
          <w:rFonts w:cs="Times New Roman"/>
          <w:sz w:val="24"/>
          <w:szCs w:val="24"/>
        </w:rPr>
        <w:br/>
      </w:r>
      <w:r w:rsidRPr="00AB5F7C">
        <w:rPr>
          <w:rFonts w:cs="Times New Roman"/>
          <w:sz w:val="24"/>
          <w:szCs w:val="24"/>
        </w:rPr>
        <w:sym w:font="Symbol" w:char="F0B7"/>
      </w:r>
      <w:r w:rsidRPr="00AB5F7C">
        <w:rPr>
          <w:rFonts w:cs="Times New Roman"/>
          <w:sz w:val="24"/>
          <w:szCs w:val="24"/>
        </w:rPr>
        <w:t xml:space="preserve"> map obszaru zdegradowanego i obszaru do rewitalizacji,</w:t>
      </w:r>
      <w:r w:rsidRPr="00AB5F7C">
        <w:rPr>
          <w:rFonts w:cs="Times New Roman"/>
          <w:sz w:val="24"/>
          <w:szCs w:val="24"/>
        </w:rPr>
        <w:br/>
      </w:r>
      <w:r w:rsidRPr="00AB5F7C">
        <w:rPr>
          <w:rFonts w:cs="Times New Roman"/>
          <w:sz w:val="24"/>
          <w:szCs w:val="24"/>
        </w:rPr>
        <w:sym w:font="Symbol" w:char="F0B7"/>
      </w:r>
      <w:r w:rsidRPr="00AB5F7C">
        <w:rPr>
          <w:rFonts w:cs="Times New Roman"/>
          <w:sz w:val="24"/>
          <w:szCs w:val="24"/>
        </w:rPr>
        <w:t xml:space="preserve"> diagnozy służącej wyznaczeniu obszaru zdegradowanego i obszaru rewitalizacji.</w:t>
      </w:r>
    </w:p>
    <w:p w:rsidR="00762109" w:rsidRPr="00AB5F7C" w:rsidRDefault="00762109" w:rsidP="005A226B">
      <w:pPr>
        <w:pStyle w:val="Nagwek1"/>
        <w:numPr>
          <w:ilvl w:val="0"/>
          <w:numId w:val="5"/>
        </w:numPr>
        <w:rPr>
          <w:rFonts w:asciiTheme="minorHAnsi" w:hAnsiTheme="minorHAnsi"/>
          <w:szCs w:val="38"/>
        </w:rPr>
      </w:pPr>
      <w:bookmarkStart w:id="2" w:name="_Toc103940037"/>
      <w:r w:rsidRPr="00AB5F7C">
        <w:rPr>
          <w:rFonts w:asciiTheme="minorHAnsi" w:hAnsiTheme="minorHAnsi"/>
          <w:szCs w:val="38"/>
        </w:rPr>
        <w:t>Przebieg zaproponowanych form konsultacji</w:t>
      </w:r>
      <w:bookmarkEnd w:id="2"/>
    </w:p>
    <w:p w:rsidR="00762109" w:rsidRPr="00AB5F7C" w:rsidRDefault="00762109" w:rsidP="00113470">
      <w:pPr>
        <w:spacing w:before="100" w:beforeAutospacing="1" w:after="100" w:afterAutospacing="1" w:line="360" w:lineRule="auto"/>
        <w:jc w:val="both"/>
        <w:rPr>
          <w:rFonts w:cs="Times New Roman"/>
          <w:b/>
          <w:sz w:val="24"/>
          <w:szCs w:val="24"/>
        </w:rPr>
      </w:pPr>
      <w:r w:rsidRPr="00AB5F7C">
        <w:rPr>
          <w:rFonts w:cs="Times New Roman"/>
          <w:b/>
          <w:sz w:val="24"/>
          <w:szCs w:val="24"/>
        </w:rPr>
        <w:t>Ankieta internetowa</w:t>
      </w:r>
    </w:p>
    <w:p w:rsidR="00762109" w:rsidRPr="00AB5F7C" w:rsidRDefault="00762109" w:rsidP="00113470">
      <w:pPr>
        <w:spacing w:before="100" w:beforeAutospacing="1" w:after="100" w:afterAutospacing="1" w:line="360" w:lineRule="auto"/>
        <w:jc w:val="both"/>
        <w:rPr>
          <w:rFonts w:cs="Times New Roman"/>
          <w:sz w:val="24"/>
          <w:szCs w:val="24"/>
        </w:rPr>
      </w:pPr>
      <w:r w:rsidRPr="00AB5F7C">
        <w:rPr>
          <w:rFonts w:cs="Times New Roman"/>
          <w:sz w:val="24"/>
          <w:szCs w:val="24"/>
        </w:rPr>
        <w:t>W ankiecie internetowej zamieszono projekt konsultowanych dokumentów z możliwością zgłoszenia</w:t>
      </w:r>
      <w:r w:rsidR="005A226B" w:rsidRPr="00AB5F7C">
        <w:rPr>
          <w:rFonts w:cs="Times New Roman"/>
          <w:sz w:val="24"/>
          <w:szCs w:val="24"/>
        </w:rPr>
        <w:t xml:space="preserve"> </w:t>
      </w:r>
      <w:r w:rsidRPr="00AB5F7C">
        <w:rPr>
          <w:rFonts w:cs="Times New Roman"/>
          <w:sz w:val="24"/>
          <w:szCs w:val="24"/>
        </w:rPr>
        <w:t>uwag i opinii w formie elektronicznej. Nie zgłoszono uwag odnośnie obszarów zdegradowanych i obszarów rewitalizacji. Mieszkańcy mieli również możliwość składania fiszek dotyczących propozycji działań na obszarach przeznaczonych do rewitalizacji.</w:t>
      </w:r>
    </w:p>
    <w:p w:rsidR="00762109" w:rsidRPr="00AB5F7C" w:rsidRDefault="00762109" w:rsidP="00113470">
      <w:pPr>
        <w:spacing w:before="100" w:beforeAutospacing="1" w:after="100" w:afterAutospacing="1" w:line="360" w:lineRule="auto"/>
        <w:jc w:val="both"/>
        <w:rPr>
          <w:rFonts w:cs="Times New Roman"/>
          <w:b/>
          <w:sz w:val="24"/>
          <w:szCs w:val="24"/>
        </w:rPr>
      </w:pPr>
      <w:r w:rsidRPr="00AB5F7C">
        <w:rPr>
          <w:rFonts w:cs="Times New Roman"/>
          <w:b/>
          <w:sz w:val="24"/>
          <w:szCs w:val="24"/>
        </w:rPr>
        <w:t>Warsztat konsultacyjny z mieszkańcami</w:t>
      </w:r>
    </w:p>
    <w:p w:rsidR="00891D94" w:rsidRPr="00AB5F7C" w:rsidRDefault="00891D94" w:rsidP="00113470">
      <w:pPr>
        <w:spacing w:before="100" w:beforeAutospacing="1" w:after="100" w:afterAutospacing="1" w:line="360" w:lineRule="auto"/>
        <w:jc w:val="both"/>
        <w:rPr>
          <w:rFonts w:cs="Times New Roman"/>
          <w:sz w:val="24"/>
          <w:szCs w:val="24"/>
        </w:rPr>
      </w:pPr>
      <w:r w:rsidRPr="00AB5F7C">
        <w:rPr>
          <w:rFonts w:cs="Times New Roman"/>
          <w:sz w:val="24"/>
          <w:szCs w:val="24"/>
        </w:rPr>
        <w:lastRenderedPageBreak/>
        <w:t xml:space="preserve">Uprawnionymi do uczestnictwa byli wszyscy </w:t>
      </w:r>
      <w:proofErr w:type="spellStart"/>
      <w:r w:rsidRPr="00AB5F7C">
        <w:rPr>
          <w:rFonts w:cs="Times New Roman"/>
          <w:sz w:val="24"/>
          <w:szCs w:val="24"/>
        </w:rPr>
        <w:t>interesariusze</w:t>
      </w:r>
      <w:proofErr w:type="spellEnd"/>
      <w:r w:rsidRPr="00AB5F7C">
        <w:rPr>
          <w:rFonts w:cs="Times New Roman"/>
          <w:sz w:val="24"/>
          <w:szCs w:val="24"/>
        </w:rPr>
        <w:t xml:space="preserve"> rewitalizacji (zgodnie z ustawą o</w:t>
      </w:r>
      <w:r w:rsidRPr="00AB5F7C">
        <w:rPr>
          <w:rFonts w:cs="Times New Roman"/>
          <w:sz w:val="24"/>
          <w:szCs w:val="24"/>
        </w:rPr>
        <w:br/>
        <w:t>rewitalizacji)</w:t>
      </w:r>
    </w:p>
    <w:p w:rsidR="00891D94" w:rsidRPr="00AB5F7C" w:rsidRDefault="00762109" w:rsidP="00113470">
      <w:pPr>
        <w:spacing w:before="100" w:beforeAutospacing="1" w:after="100" w:afterAutospacing="1" w:line="360" w:lineRule="auto"/>
        <w:jc w:val="both"/>
        <w:rPr>
          <w:rFonts w:eastAsia="Times New Roman" w:cs="Times New Roman"/>
          <w:sz w:val="24"/>
          <w:szCs w:val="24"/>
        </w:rPr>
      </w:pPr>
      <w:r w:rsidRPr="00AB5F7C">
        <w:rPr>
          <w:rFonts w:cs="Times New Roman"/>
          <w:sz w:val="24"/>
          <w:szCs w:val="24"/>
        </w:rPr>
        <w:t xml:space="preserve">Warsztaty odbyły się </w:t>
      </w:r>
      <w:r w:rsidR="00891D94" w:rsidRPr="00AB5F7C">
        <w:rPr>
          <w:rFonts w:eastAsia="Times New Roman" w:cs="Times New Roman"/>
          <w:sz w:val="24"/>
          <w:szCs w:val="24"/>
        </w:rPr>
        <w:t>21 kwietnia 2022 r. w Sali Widowiskowej Miejskiej Biblioteki Publicznej, w godz. od 10.00 do 12.00. Wzięło w nich udział 14 osób. Mieszkańcy zostali powiadomieni poprzez inf</w:t>
      </w:r>
      <w:r w:rsidR="00920BC6">
        <w:rPr>
          <w:rFonts w:eastAsia="Times New Roman" w:cs="Times New Roman"/>
          <w:sz w:val="24"/>
          <w:szCs w:val="24"/>
        </w:rPr>
        <w:t xml:space="preserve">ormacje na stronie internetowej </w:t>
      </w:r>
      <w:hyperlink r:id="rId9" w:history="1">
        <w:r w:rsidR="00920BC6" w:rsidRPr="00812B7C">
          <w:rPr>
            <w:rStyle w:val="Hipercze"/>
            <w:rFonts w:eastAsia="Times New Roman" w:cs="Times New Roman"/>
            <w:sz w:val="24"/>
            <w:szCs w:val="24"/>
          </w:rPr>
          <w:t>www.ciechanowiec.pl</w:t>
        </w:r>
      </w:hyperlink>
      <w:r w:rsidR="00920BC6">
        <w:rPr>
          <w:rFonts w:eastAsia="Times New Roman" w:cs="Times New Roman"/>
          <w:sz w:val="24"/>
          <w:szCs w:val="24"/>
        </w:rPr>
        <w:t xml:space="preserve">, w mediach </w:t>
      </w:r>
      <w:proofErr w:type="spellStart"/>
      <w:r w:rsidR="00920BC6">
        <w:rPr>
          <w:rFonts w:eastAsia="Times New Roman" w:cs="Times New Roman"/>
          <w:sz w:val="24"/>
          <w:szCs w:val="24"/>
        </w:rPr>
        <w:t>społecznościowych</w:t>
      </w:r>
      <w:proofErr w:type="spellEnd"/>
      <w:r w:rsidR="00920BC6">
        <w:rPr>
          <w:rFonts w:eastAsia="Times New Roman" w:cs="Times New Roman"/>
          <w:sz w:val="24"/>
          <w:szCs w:val="24"/>
        </w:rPr>
        <w:t xml:space="preserve"> gminy Ciechanowiec, </w:t>
      </w:r>
      <w:r w:rsidR="003A2B23">
        <w:rPr>
          <w:rFonts w:eastAsia="Times New Roman" w:cs="Times New Roman"/>
          <w:sz w:val="24"/>
          <w:szCs w:val="24"/>
        </w:rPr>
        <w:t>w Biuletynie Informacji Publicznej oraz na tablicach ogłoszeń Urzędu Miejskiego w Ciechanowcu.</w:t>
      </w:r>
    </w:p>
    <w:p w:rsidR="00891D94" w:rsidRPr="00AB5F7C" w:rsidRDefault="00891D94" w:rsidP="00113470">
      <w:pPr>
        <w:spacing w:before="100" w:beforeAutospacing="1" w:after="100" w:afterAutospacing="1" w:line="360" w:lineRule="auto"/>
        <w:jc w:val="both"/>
        <w:rPr>
          <w:rFonts w:eastAsia="Times New Roman" w:cs="Times New Roman"/>
          <w:sz w:val="24"/>
          <w:szCs w:val="24"/>
        </w:rPr>
      </w:pPr>
      <w:r w:rsidRPr="00AB5F7C">
        <w:rPr>
          <w:rFonts w:eastAsia="Times New Roman" w:cs="Times New Roman"/>
          <w:sz w:val="24"/>
          <w:szCs w:val="24"/>
        </w:rPr>
        <w:t xml:space="preserve">Podczas spotkania zostały przedstawione obszary zdegradowane oraz obszary przeznaczone do rewitalizacji. Zostały również przedstawione obiektywne wskaźniki, które posłużyły do wyznaczenia tych obszarów oraz metodologia ich obliczania. Wykonawca przedstawił również prezentacje dotyczącą obszarów zdegradowanych i rewitalizacji, która została później udostępniona na stronie internetowej Gminy. </w:t>
      </w:r>
    </w:p>
    <w:p w:rsidR="00891D94" w:rsidRPr="00AB5F7C" w:rsidRDefault="00891D94" w:rsidP="00113470">
      <w:pPr>
        <w:spacing w:before="100" w:beforeAutospacing="1" w:after="100" w:afterAutospacing="1" w:line="360" w:lineRule="auto"/>
        <w:jc w:val="both"/>
        <w:rPr>
          <w:rFonts w:eastAsia="Times New Roman" w:cs="Times New Roman"/>
          <w:sz w:val="24"/>
          <w:szCs w:val="24"/>
        </w:rPr>
      </w:pPr>
      <w:r w:rsidRPr="00AB5F7C">
        <w:rPr>
          <w:rFonts w:eastAsia="Times New Roman" w:cs="Times New Roman"/>
          <w:sz w:val="24"/>
          <w:szCs w:val="24"/>
        </w:rPr>
        <w:t xml:space="preserve">Przybyli goście mieli możliwość dyskusji na temat wyznaczonych obszarów, przybliżony im został problem rewitalizacji i jego konsekwencje. Była również możliwość swobodnego wypowiedzenia się na temat wizji proponowanych obszarów rewitalizacji. </w:t>
      </w:r>
    </w:p>
    <w:p w:rsidR="0068113E" w:rsidRPr="00AB5F7C" w:rsidRDefault="0068113E" w:rsidP="00113470">
      <w:pPr>
        <w:spacing w:before="100" w:beforeAutospacing="1" w:after="100" w:afterAutospacing="1" w:line="360" w:lineRule="auto"/>
        <w:jc w:val="both"/>
        <w:rPr>
          <w:rFonts w:cs="Times New Roman"/>
          <w:sz w:val="24"/>
          <w:szCs w:val="24"/>
        </w:rPr>
      </w:pPr>
      <w:r w:rsidRPr="00AB5F7C">
        <w:rPr>
          <w:rFonts w:cs="Times New Roman"/>
          <w:sz w:val="24"/>
          <w:szCs w:val="24"/>
        </w:rPr>
        <w:t>Po analizie konsultowanych dokumentów i wspólnej rozmowie</w:t>
      </w:r>
      <w:r w:rsidR="005A226B" w:rsidRPr="00AB5F7C">
        <w:rPr>
          <w:rFonts w:cs="Times New Roman"/>
          <w:sz w:val="24"/>
          <w:szCs w:val="24"/>
        </w:rPr>
        <w:t xml:space="preserve"> </w:t>
      </w:r>
      <w:r w:rsidRPr="00AB5F7C">
        <w:rPr>
          <w:rFonts w:cs="Times New Roman"/>
          <w:sz w:val="24"/>
          <w:szCs w:val="24"/>
        </w:rPr>
        <w:t>podziękowano za udział w spotkaniu i zachęcono do czynnego udziału w dalszych konsultacjach</w:t>
      </w:r>
      <w:r w:rsidR="005A226B" w:rsidRPr="00AB5F7C">
        <w:rPr>
          <w:rFonts w:cs="Times New Roman"/>
          <w:sz w:val="24"/>
          <w:szCs w:val="24"/>
        </w:rPr>
        <w:t xml:space="preserve"> </w:t>
      </w:r>
      <w:r w:rsidRPr="00AB5F7C">
        <w:rPr>
          <w:rFonts w:cs="Times New Roman"/>
          <w:sz w:val="24"/>
          <w:szCs w:val="24"/>
        </w:rPr>
        <w:t>społecznych w formie elektronicznej oraz zaproszono do śledzenia wszelkich informacji o rewitalizacji</w:t>
      </w:r>
      <w:r w:rsidR="005A226B" w:rsidRPr="00AB5F7C">
        <w:rPr>
          <w:rFonts w:cs="Times New Roman"/>
          <w:sz w:val="24"/>
          <w:szCs w:val="24"/>
        </w:rPr>
        <w:t xml:space="preserve"> </w:t>
      </w:r>
      <w:r w:rsidRPr="00AB5F7C">
        <w:rPr>
          <w:rFonts w:cs="Times New Roman"/>
          <w:sz w:val="24"/>
          <w:szCs w:val="24"/>
        </w:rPr>
        <w:t>na stronie gminy.</w:t>
      </w:r>
    </w:p>
    <w:p w:rsidR="0068113E" w:rsidRPr="00AB5F7C" w:rsidRDefault="0068113E" w:rsidP="00113470">
      <w:pPr>
        <w:spacing w:before="100" w:beforeAutospacing="1" w:after="100" w:afterAutospacing="1" w:line="360" w:lineRule="auto"/>
        <w:jc w:val="both"/>
        <w:rPr>
          <w:rFonts w:cs="Times New Roman"/>
          <w:b/>
          <w:sz w:val="24"/>
          <w:szCs w:val="24"/>
        </w:rPr>
      </w:pPr>
      <w:r w:rsidRPr="00AB5F7C">
        <w:rPr>
          <w:rFonts w:cs="Times New Roman"/>
          <w:b/>
          <w:sz w:val="24"/>
          <w:szCs w:val="24"/>
        </w:rPr>
        <w:t xml:space="preserve">Zgłoszenia pisemne do UM </w:t>
      </w:r>
      <w:r w:rsidR="005A226B" w:rsidRPr="00AB5F7C">
        <w:rPr>
          <w:rFonts w:cs="Times New Roman"/>
          <w:b/>
          <w:sz w:val="24"/>
          <w:szCs w:val="24"/>
        </w:rPr>
        <w:t xml:space="preserve"> Ciechanowiec </w:t>
      </w:r>
    </w:p>
    <w:p w:rsidR="0068113E" w:rsidRPr="00AB5F7C" w:rsidRDefault="0068113E" w:rsidP="00113470">
      <w:pPr>
        <w:spacing w:before="100" w:beforeAutospacing="1" w:after="100" w:afterAutospacing="1" w:line="360" w:lineRule="auto"/>
        <w:jc w:val="both"/>
        <w:rPr>
          <w:rFonts w:cs="Times New Roman"/>
          <w:sz w:val="24"/>
          <w:szCs w:val="24"/>
        </w:rPr>
      </w:pPr>
      <w:r w:rsidRPr="00AB5F7C">
        <w:rPr>
          <w:rFonts w:cs="Times New Roman"/>
          <w:sz w:val="24"/>
          <w:szCs w:val="24"/>
        </w:rPr>
        <w:t>Do dnia 13.05.2022 roku wpłynęła 1 uwaga dotycząca obszaru zdegrad</w:t>
      </w:r>
      <w:r w:rsidR="00744565" w:rsidRPr="00AB5F7C">
        <w:rPr>
          <w:rFonts w:cs="Times New Roman"/>
          <w:sz w:val="24"/>
          <w:szCs w:val="24"/>
        </w:rPr>
        <w:t xml:space="preserve">owanego i obszaru rewitalizacji wniesiona przez Eugeniusza Święckiego. </w:t>
      </w:r>
      <w:r w:rsidRPr="00AB5F7C">
        <w:rPr>
          <w:rFonts w:cs="Times New Roman"/>
          <w:sz w:val="24"/>
          <w:szCs w:val="24"/>
        </w:rPr>
        <w:t xml:space="preserve"> Po wnikliwej analizie dokumentu diagnozy obszaru rewitalizacji zwrócono uwagę na omyłkowe nie włączenie do obszaru zdegradowanego miejscowości Wojtkowice</w:t>
      </w:r>
      <w:r w:rsidR="003A2B23">
        <w:rPr>
          <w:rFonts w:cs="Times New Roman"/>
          <w:sz w:val="24"/>
          <w:szCs w:val="24"/>
        </w:rPr>
        <w:t>-</w:t>
      </w:r>
      <w:r w:rsidRPr="00AB5F7C">
        <w:rPr>
          <w:rFonts w:cs="Times New Roman"/>
          <w:sz w:val="24"/>
          <w:szCs w:val="24"/>
        </w:rPr>
        <w:t>Dady, Wojtkowice Stare i Wojtkowice</w:t>
      </w:r>
      <w:r w:rsidR="003A2B23">
        <w:rPr>
          <w:rFonts w:cs="Times New Roman"/>
          <w:sz w:val="24"/>
          <w:szCs w:val="24"/>
        </w:rPr>
        <w:t>-</w:t>
      </w:r>
      <w:r w:rsidRPr="00AB5F7C">
        <w:rPr>
          <w:rFonts w:cs="Times New Roman"/>
          <w:sz w:val="24"/>
          <w:szCs w:val="24"/>
        </w:rPr>
        <w:t>Glinna, pomimo wartości wskaźników je klasyfikujących. Wniesiono, również wniosek o włączenie obszaru jako obszaru rewitalizacji.</w:t>
      </w:r>
      <w:r w:rsidR="005A226B" w:rsidRPr="00AB5F7C">
        <w:rPr>
          <w:rFonts w:cs="Times New Roman"/>
          <w:sz w:val="24"/>
          <w:szCs w:val="24"/>
        </w:rPr>
        <w:t xml:space="preserve"> Uwaga z rozstrzygnięciem zamieszczona została poniżej.</w:t>
      </w:r>
    </w:p>
    <w:p w:rsidR="00744565" w:rsidRPr="00AB5F7C" w:rsidRDefault="00744565" w:rsidP="005A226B">
      <w:pPr>
        <w:pStyle w:val="Nagwek1"/>
        <w:numPr>
          <w:ilvl w:val="0"/>
          <w:numId w:val="5"/>
        </w:numPr>
        <w:rPr>
          <w:rFonts w:asciiTheme="minorHAnsi" w:hAnsiTheme="minorHAnsi"/>
        </w:rPr>
      </w:pPr>
      <w:bookmarkStart w:id="3" w:name="_Toc103940038"/>
      <w:r w:rsidRPr="00AB5F7C">
        <w:rPr>
          <w:rFonts w:asciiTheme="minorHAnsi" w:hAnsiTheme="minorHAnsi"/>
        </w:rPr>
        <w:lastRenderedPageBreak/>
        <w:t>Podsumowanie</w:t>
      </w:r>
      <w:bookmarkEnd w:id="3"/>
    </w:p>
    <w:p w:rsidR="00B8511F" w:rsidRPr="003A2B23" w:rsidRDefault="00744565" w:rsidP="003A2B23">
      <w:pPr>
        <w:spacing w:before="100" w:beforeAutospacing="1" w:after="100" w:afterAutospacing="1" w:line="360" w:lineRule="auto"/>
        <w:jc w:val="both"/>
        <w:rPr>
          <w:rFonts w:cs="Times New Roman"/>
          <w:sz w:val="24"/>
          <w:szCs w:val="24"/>
        </w:rPr>
        <w:sectPr w:rsidR="00B8511F" w:rsidRPr="003A2B23" w:rsidSect="0042639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pPr>
      <w:r w:rsidRPr="00AB5F7C">
        <w:rPr>
          <w:rFonts w:cs="Times New Roman"/>
          <w:sz w:val="24"/>
          <w:szCs w:val="24"/>
        </w:rPr>
        <w:t>Konsultacje odbyły się zgodnie z określonym w ustawie o rewitalizacji sposobem ich przeprowadzenia</w:t>
      </w:r>
      <w:r w:rsidR="005A226B" w:rsidRPr="00AB5F7C">
        <w:rPr>
          <w:rFonts w:cs="Times New Roman"/>
          <w:sz w:val="24"/>
          <w:szCs w:val="24"/>
        </w:rPr>
        <w:t xml:space="preserve"> </w:t>
      </w:r>
      <w:r w:rsidRPr="00AB5F7C">
        <w:rPr>
          <w:rFonts w:cs="Times New Roman"/>
          <w:sz w:val="24"/>
          <w:szCs w:val="24"/>
        </w:rPr>
        <w:t>w formie papierowej i elektronicznej. Poniżej zaprezentowano odniesienie do zgłoszonych uwag w</w:t>
      </w:r>
      <w:r w:rsidR="005A226B" w:rsidRPr="00AB5F7C">
        <w:rPr>
          <w:rFonts w:cs="Times New Roman"/>
          <w:sz w:val="24"/>
          <w:szCs w:val="24"/>
        </w:rPr>
        <w:t xml:space="preserve"> </w:t>
      </w:r>
      <w:r w:rsidRPr="00AB5F7C">
        <w:rPr>
          <w:rFonts w:cs="Times New Roman"/>
          <w:sz w:val="24"/>
          <w:szCs w:val="24"/>
        </w:rPr>
        <w:t>toku konsultacji społecznych</w:t>
      </w:r>
      <w:r w:rsidR="005A226B" w:rsidRPr="00AB5F7C">
        <w:rPr>
          <w:rFonts w:cs="Times New Roman"/>
          <w:sz w:val="24"/>
          <w:szCs w:val="24"/>
        </w:rPr>
        <w:t>. Ponadto zgłoszono 51 propozycji projektów rewitalizacji.</w:t>
      </w:r>
      <w:r w:rsidR="0042639B" w:rsidRPr="00AB5F7C">
        <w:rPr>
          <w:rFonts w:cs="Times New Roman"/>
          <w:sz w:val="24"/>
          <w:szCs w:val="24"/>
        </w:rPr>
        <w:t xml:space="preserve"> Fiszki te zostaną zaproponowane do wprowadzenia jednak do Gminnego Programu Rewitalizacji przyjmowanym na kolejnym etapie pracy jako zadanie w</w:t>
      </w:r>
      <w:r w:rsidR="0042639B" w:rsidRPr="00AB5F7C">
        <w:rPr>
          <w:rFonts w:cs="Times New Roman"/>
          <w:sz w:val="24"/>
          <w:szCs w:val="24"/>
        </w:rPr>
        <w:br/>
        <w:t xml:space="preserve">ramach przedsięwzięć rewitalizacyjnych, zgodnie z art. 14 i art. </w:t>
      </w:r>
      <w:r w:rsidR="003A2B23">
        <w:rPr>
          <w:rFonts w:cs="Times New Roman"/>
          <w:sz w:val="24"/>
          <w:szCs w:val="24"/>
        </w:rPr>
        <w:t xml:space="preserve">15 ust. 1 </w:t>
      </w:r>
      <w:proofErr w:type="spellStart"/>
      <w:r w:rsidR="003A2B23">
        <w:rPr>
          <w:rFonts w:cs="Times New Roman"/>
          <w:sz w:val="24"/>
          <w:szCs w:val="24"/>
        </w:rPr>
        <w:t>pkt</w:t>
      </w:r>
      <w:proofErr w:type="spellEnd"/>
      <w:r w:rsidR="003A2B23">
        <w:rPr>
          <w:rFonts w:cs="Times New Roman"/>
          <w:sz w:val="24"/>
          <w:szCs w:val="24"/>
        </w:rPr>
        <w:t xml:space="preserve"> 5 ustawy o </w:t>
      </w:r>
      <w:r w:rsidR="0042639B" w:rsidRPr="00AB5F7C">
        <w:rPr>
          <w:rFonts w:cs="Times New Roman"/>
          <w:sz w:val="24"/>
          <w:szCs w:val="24"/>
        </w:rPr>
        <w:t>rewitalizacji</w:t>
      </w:r>
      <w:r w:rsidR="003A2B23">
        <w:rPr>
          <w:rFonts w:cs="Times New Roman"/>
          <w:sz w:val="24"/>
          <w:szCs w:val="24"/>
        </w:rPr>
        <w:t>.</w:t>
      </w:r>
    </w:p>
    <w:p w:rsidR="00B8511F" w:rsidRPr="00AB5F7C" w:rsidRDefault="0042639B" w:rsidP="0042639B">
      <w:pPr>
        <w:spacing w:before="100" w:beforeAutospacing="1" w:after="100" w:afterAutospacing="1" w:line="360" w:lineRule="auto"/>
        <w:jc w:val="both"/>
        <w:rPr>
          <w:rFonts w:cs="Times New Roman"/>
          <w:b/>
          <w:sz w:val="24"/>
          <w:szCs w:val="24"/>
        </w:rPr>
      </w:pPr>
      <w:r w:rsidRPr="00AB5F7C">
        <w:rPr>
          <w:rFonts w:cs="Times New Roman"/>
          <w:b/>
          <w:sz w:val="24"/>
          <w:szCs w:val="24"/>
        </w:rPr>
        <w:lastRenderedPageBreak/>
        <w:t>Tabela 1. Wnioski złożone w trakcie konsultacji społecznych do projektu uchwały Rady Miejskiej w Ciechanowcu w sprawie wyznaczenia obszaru zdegradowanego i obszaru rewitalizacji dla Gminy Ciechanowiec oraz rozstrzygnięcia tych wniosków</w:t>
      </w:r>
    </w:p>
    <w:tbl>
      <w:tblPr>
        <w:tblStyle w:val="Tabela-Siatka"/>
        <w:tblW w:w="14283" w:type="dxa"/>
        <w:tblLayout w:type="fixed"/>
        <w:tblLook w:val="04A0"/>
      </w:tblPr>
      <w:tblGrid>
        <w:gridCol w:w="443"/>
        <w:gridCol w:w="1366"/>
        <w:gridCol w:w="2127"/>
        <w:gridCol w:w="2835"/>
        <w:gridCol w:w="7512"/>
      </w:tblGrid>
      <w:tr w:rsidR="00744565" w:rsidRPr="00AB5F7C" w:rsidTr="00113470">
        <w:tc>
          <w:tcPr>
            <w:tcW w:w="443" w:type="dxa"/>
          </w:tcPr>
          <w:p w:rsidR="00744565" w:rsidRPr="00AB5F7C" w:rsidRDefault="00744565" w:rsidP="00EC0148">
            <w:pPr>
              <w:rPr>
                <w:rFonts w:cstheme="minorHAnsi"/>
                <w:b/>
                <w:i/>
                <w:sz w:val="24"/>
                <w:szCs w:val="24"/>
              </w:rPr>
            </w:pPr>
            <w:proofErr w:type="spellStart"/>
            <w:r w:rsidRPr="00AB5F7C">
              <w:rPr>
                <w:rFonts w:cstheme="minorHAnsi"/>
                <w:b/>
                <w:i/>
                <w:sz w:val="24"/>
                <w:szCs w:val="24"/>
              </w:rPr>
              <w:t>Lp</w:t>
            </w:r>
            <w:proofErr w:type="spellEnd"/>
          </w:p>
        </w:tc>
        <w:tc>
          <w:tcPr>
            <w:tcW w:w="1366" w:type="dxa"/>
          </w:tcPr>
          <w:p w:rsidR="00744565" w:rsidRPr="00AB5F7C" w:rsidRDefault="00744565" w:rsidP="005A226B">
            <w:pPr>
              <w:spacing w:line="276" w:lineRule="auto"/>
              <w:jc w:val="center"/>
              <w:rPr>
                <w:rFonts w:cs="Times New Roman"/>
                <w:b/>
                <w:i/>
              </w:rPr>
            </w:pPr>
            <w:r w:rsidRPr="00AB5F7C">
              <w:rPr>
                <w:rStyle w:val="markedcontent"/>
                <w:rFonts w:cs="Times New Roman"/>
                <w:b/>
                <w:i/>
              </w:rPr>
              <w:t>Część dokumentu do które odnosi się uwaga (</w:t>
            </w:r>
            <w:proofErr w:type="spellStart"/>
            <w:r w:rsidRPr="00AB5F7C">
              <w:rPr>
                <w:rStyle w:val="markedcontent"/>
                <w:rFonts w:cs="Times New Roman"/>
                <w:b/>
                <w:i/>
              </w:rPr>
              <w:t>rozdział,zapis</w:t>
            </w:r>
            <w:proofErr w:type="spellEnd"/>
            <w:r w:rsidRPr="00AB5F7C">
              <w:rPr>
                <w:rStyle w:val="markedcontent"/>
                <w:rFonts w:cs="Times New Roman"/>
                <w:b/>
                <w:i/>
              </w:rPr>
              <w:t xml:space="preserve"> w </w:t>
            </w:r>
            <w:proofErr w:type="spellStart"/>
            <w:r w:rsidRPr="00AB5F7C">
              <w:rPr>
                <w:rStyle w:val="markedcontent"/>
                <w:rFonts w:cs="Times New Roman"/>
                <w:b/>
                <w:i/>
              </w:rPr>
              <w:t>projekciedokumentu</w:t>
            </w:r>
            <w:proofErr w:type="spellEnd"/>
            <w:r w:rsidRPr="00AB5F7C">
              <w:rPr>
                <w:rStyle w:val="markedcontent"/>
                <w:rFonts w:cs="Times New Roman"/>
                <w:b/>
                <w:i/>
              </w:rPr>
              <w:t>)</w:t>
            </w:r>
          </w:p>
        </w:tc>
        <w:tc>
          <w:tcPr>
            <w:tcW w:w="2127" w:type="dxa"/>
          </w:tcPr>
          <w:p w:rsidR="00744565" w:rsidRPr="00AB5F7C" w:rsidRDefault="00744565" w:rsidP="005A226B">
            <w:pPr>
              <w:spacing w:line="276" w:lineRule="auto"/>
              <w:jc w:val="center"/>
              <w:rPr>
                <w:rFonts w:cs="Times New Roman"/>
                <w:b/>
                <w:i/>
              </w:rPr>
            </w:pPr>
            <w:r w:rsidRPr="00AB5F7C">
              <w:rPr>
                <w:rStyle w:val="markedcontent"/>
                <w:rFonts w:cs="Times New Roman"/>
                <w:b/>
                <w:i/>
              </w:rPr>
              <w:t>Treść uwagi</w:t>
            </w:r>
          </w:p>
        </w:tc>
        <w:tc>
          <w:tcPr>
            <w:tcW w:w="2835" w:type="dxa"/>
          </w:tcPr>
          <w:p w:rsidR="00744565" w:rsidRPr="00AB5F7C" w:rsidRDefault="00744565" w:rsidP="005A226B">
            <w:pPr>
              <w:spacing w:line="276" w:lineRule="auto"/>
              <w:jc w:val="center"/>
              <w:rPr>
                <w:rStyle w:val="markedcontent"/>
                <w:rFonts w:cs="Times New Roman"/>
                <w:b/>
                <w:i/>
              </w:rPr>
            </w:pPr>
            <w:r w:rsidRPr="00AB5F7C">
              <w:rPr>
                <w:rStyle w:val="markedcontent"/>
                <w:rFonts w:cs="Times New Roman"/>
                <w:b/>
                <w:i/>
              </w:rPr>
              <w:t>Uzasadnienie uwagi</w:t>
            </w:r>
          </w:p>
          <w:p w:rsidR="00744565" w:rsidRPr="00AB5F7C" w:rsidRDefault="00744565" w:rsidP="005A226B">
            <w:pPr>
              <w:spacing w:line="276" w:lineRule="auto"/>
              <w:jc w:val="center"/>
              <w:rPr>
                <w:rFonts w:cs="Times New Roman"/>
                <w:b/>
                <w:i/>
              </w:rPr>
            </w:pPr>
          </w:p>
        </w:tc>
        <w:tc>
          <w:tcPr>
            <w:tcW w:w="7512" w:type="dxa"/>
          </w:tcPr>
          <w:p w:rsidR="00744565" w:rsidRPr="00AB5F7C" w:rsidRDefault="00744565" w:rsidP="005A226B">
            <w:pPr>
              <w:spacing w:line="276" w:lineRule="auto"/>
              <w:jc w:val="center"/>
              <w:rPr>
                <w:rStyle w:val="markedcontent"/>
                <w:rFonts w:cs="Times New Roman"/>
                <w:b/>
                <w:i/>
              </w:rPr>
            </w:pPr>
            <w:r w:rsidRPr="00AB5F7C">
              <w:rPr>
                <w:rStyle w:val="markedcontent"/>
                <w:rFonts w:cs="Times New Roman"/>
                <w:b/>
                <w:i/>
              </w:rPr>
              <w:t>Rozstrzygnięcie</w:t>
            </w:r>
          </w:p>
          <w:p w:rsidR="00744565" w:rsidRPr="00AB5F7C" w:rsidRDefault="00744565" w:rsidP="005A226B">
            <w:pPr>
              <w:spacing w:line="276" w:lineRule="auto"/>
              <w:jc w:val="center"/>
              <w:rPr>
                <w:rStyle w:val="markedcontent"/>
                <w:rFonts w:cs="Times New Roman"/>
                <w:b/>
                <w:i/>
              </w:rPr>
            </w:pPr>
          </w:p>
        </w:tc>
      </w:tr>
      <w:tr w:rsidR="00744565" w:rsidRPr="00AB5F7C" w:rsidTr="00113470">
        <w:tc>
          <w:tcPr>
            <w:tcW w:w="443" w:type="dxa"/>
          </w:tcPr>
          <w:p w:rsidR="00744565" w:rsidRPr="00AB5F7C" w:rsidRDefault="00744565" w:rsidP="00EC0148">
            <w:pPr>
              <w:rPr>
                <w:rFonts w:cstheme="minorHAnsi"/>
                <w:sz w:val="24"/>
                <w:szCs w:val="24"/>
              </w:rPr>
            </w:pPr>
            <w:r w:rsidRPr="00AB5F7C">
              <w:rPr>
                <w:rFonts w:cstheme="minorHAnsi"/>
                <w:sz w:val="24"/>
                <w:szCs w:val="24"/>
              </w:rPr>
              <w:t>1.</w:t>
            </w:r>
          </w:p>
        </w:tc>
        <w:tc>
          <w:tcPr>
            <w:tcW w:w="1366" w:type="dxa"/>
          </w:tcPr>
          <w:p w:rsidR="00744565" w:rsidRPr="00AB5F7C" w:rsidRDefault="00744565" w:rsidP="005A226B">
            <w:pPr>
              <w:spacing w:line="276" w:lineRule="auto"/>
              <w:rPr>
                <w:rFonts w:cs="Times New Roman"/>
              </w:rPr>
            </w:pPr>
          </w:p>
          <w:p w:rsidR="00744565" w:rsidRPr="00AB5F7C" w:rsidRDefault="00744565" w:rsidP="005A226B">
            <w:pPr>
              <w:pStyle w:val="Nagwek2"/>
              <w:spacing w:line="276" w:lineRule="auto"/>
              <w:outlineLvl w:val="1"/>
              <w:rPr>
                <w:rStyle w:val="markedcontent"/>
                <w:rFonts w:asciiTheme="minorHAnsi" w:hAnsiTheme="minorHAnsi" w:cs="Times New Roman"/>
                <w:b w:val="0"/>
                <w:color w:val="auto"/>
                <w:sz w:val="22"/>
                <w:szCs w:val="22"/>
              </w:rPr>
            </w:pPr>
            <w:bookmarkStart w:id="4" w:name="_Toc99693295"/>
            <w:bookmarkStart w:id="5" w:name="_Toc103940039"/>
            <w:r w:rsidRPr="00AB5F7C">
              <w:rPr>
                <w:rStyle w:val="markedcontent"/>
                <w:rFonts w:asciiTheme="minorHAnsi" w:hAnsiTheme="minorHAnsi" w:cs="Times New Roman"/>
                <w:b w:val="0"/>
                <w:color w:val="auto"/>
                <w:sz w:val="22"/>
                <w:szCs w:val="22"/>
              </w:rPr>
              <w:t>2.2. Obszar rewitalizacji</w:t>
            </w:r>
            <w:bookmarkEnd w:id="4"/>
            <w:bookmarkEnd w:id="5"/>
          </w:p>
          <w:p w:rsidR="00744565" w:rsidRPr="00AB5F7C" w:rsidRDefault="00744565" w:rsidP="005A226B">
            <w:pPr>
              <w:spacing w:line="276" w:lineRule="auto"/>
              <w:rPr>
                <w:rFonts w:cs="Times New Roman"/>
              </w:rPr>
            </w:pPr>
          </w:p>
          <w:p w:rsidR="00744565" w:rsidRPr="00AB5F7C" w:rsidRDefault="00744565" w:rsidP="005A226B">
            <w:pPr>
              <w:spacing w:line="276" w:lineRule="auto"/>
              <w:rPr>
                <w:rFonts w:cs="Times New Roman"/>
              </w:rPr>
            </w:pPr>
          </w:p>
        </w:tc>
        <w:tc>
          <w:tcPr>
            <w:tcW w:w="2127" w:type="dxa"/>
          </w:tcPr>
          <w:p w:rsidR="00744565" w:rsidRPr="00AB5F7C" w:rsidRDefault="00744565" w:rsidP="005A226B">
            <w:pPr>
              <w:spacing w:line="276" w:lineRule="auto"/>
              <w:rPr>
                <w:rFonts w:cs="Times New Roman"/>
              </w:rPr>
            </w:pPr>
            <w:r w:rsidRPr="00AB5F7C">
              <w:rPr>
                <w:rFonts w:cs="Times New Roman"/>
              </w:rPr>
              <w:t>Dodanie 12 podobszaru rewitalizacji obejmującego:</w:t>
            </w:r>
          </w:p>
          <w:p w:rsidR="00744565" w:rsidRPr="00AB5F7C" w:rsidRDefault="00744565" w:rsidP="005A226B">
            <w:pPr>
              <w:spacing w:line="276" w:lineRule="auto"/>
              <w:rPr>
                <w:rFonts w:cs="Times New Roman"/>
              </w:rPr>
            </w:pPr>
            <w:r w:rsidRPr="00AB5F7C">
              <w:rPr>
                <w:rFonts w:cs="Times New Roman"/>
              </w:rPr>
              <w:t>Wojtkowice Stare, Wojtkowice-Glinna, Wojtkowice-Dady</w:t>
            </w:r>
          </w:p>
        </w:tc>
        <w:tc>
          <w:tcPr>
            <w:tcW w:w="2835" w:type="dxa"/>
          </w:tcPr>
          <w:p w:rsidR="00744565" w:rsidRPr="00AB5F7C" w:rsidRDefault="00744565" w:rsidP="005A226B">
            <w:pPr>
              <w:spacing w:line="276" w:lineRule="auto"/>
              <w:rPr>
                <w:rFonts w:cs="Times New Roman"/>
              </w:rPr>
            </w:pPr>
            <w:r w:rsidRPr="00AB5F7C">
              <w:rPr>
                <w:rFonts w:cs="Times New Roman"/>
              </w:rPr>
              <w:t xml:space="preserve">W trakcie wnikliwej analizy dokumentu Wyznaczenie obszaru zdegradowanego i rewitalizacji- Diagnoza zwrócono uwagę na omyłkowe pominięcie obszaru klasyfikującego się jako obszar zdegradowany pomimo wielu niekorzystnych wskaźników sytuacji społecznej, gospodarczej i infrastrukturalnej. </w:t>
            </w:r>
            <w:r w:rsidR="00B8511F" w:rsidRPr="00AB5F7C">
              <w:rPr>
                <w:rFonts w:cs="Times New Roman"/>
              </w:rPr>
              <w:t xml:space="preserve">Obszar ten w mojej ocenie powinien zostać również zakwalifikowany jako obszar </w:t>
            </w:r>
            <w:r w:rsidR="00B8511F" w:rsidRPr="00AB5F7C">
              <w:rPr>
                <w:rFonts w:cs="Times New Roman"/>
              </w:rPr>
              <w:lastRenderedPageBreak/>
              <w:t xml:space="preserve">rewitalizacji. </w:t>
            </w:r>
            <w:r w:rsidRPr="00AB5F7C">
              <w:rPr>
                <w:rFonts w:cs="Times New Roman"/>
              </w:rPr>
              <w:t xml:space="preserve">Obszar oddalony od Ciechanowca, który powinien być </w:t>
            </w:r>
            <w:proofErr w:type="spellStart"/>
            <w:r w:rsidRPr="00AB5F7C">
              <w:rPr>
                <w:rFonts w:cs="Times New Roman"/>
              </w:rPr>
              <w:t>zrewitalizowany</w:t>
            </w:r>
            <w:proofErr w:type="spellEnd"/>
            <w:r w:rsidRPr="00AB5F7C">
              <w:rPr>
                <w:rFonts w:cs="Times New Roman"/>
              </w:rPr>
              <w:t xml:space="preserve"> ze względu na bardzo ni</w:t>
            </w:r>
            <w:r w:rsidR="00B8511F" w:rsidRPr="00AB5F7C">
              <w:rPr>
                <w:rFonts w:cs="Times New Roman"/>
              </w:rPr>
              <w:t xml:space="preserve">ekorzystne zmiany społeczne. </w:t>
            </w:r>
            <w:r w:rsidRPr="00AB5F7C">
              <w:rPr>
                <w:rFonts w:cs="Times New Roman"/>
              </w:rPr>
              <w:t xml:space="preserve"> Brak jakichkolwiek działań utrwali</w:t>
            </w:r>
            <w:r w:rsidR="00B8511F" w:rsidRPr="00AB5F7C">
              <w:rPr>
                <w:rFonts w:cs="Times New Roman"/>
              </w:rPr>
              <w:t xml:space="preserve"> je</w:t>
            </w:r>
            <w:r w:rsidRPr="00AB5F7C">
              <w:rPr>
                <w:rFonts w:cs="Times New Roman"/>
              </w:rPr>
              <w:t>.</w:t>
            </w:r>
          </w:p>
          <w:p w:rsidR="00744565" w:rsidRPr="00AB5F7C" w:rsidRDefault="00744565" w:rsidP="005A226B">
            <w:pPr>
              <w:spacing w:line="276" w:lineRule="auto"/>
              <w:rPr>
                <w:rFonts w:cs="Times New Roman"/>
              </w:rPr>
            </w:pPr>
            <w:r w:rsidRPr="00AB5F7C">
              <w:rPr>
                <w:rFonts w:cs="Times New Roman"/>
              </w:rPr>
              <w:t>Jest obszarem o dużym natężeniu negatywnych zjawisk społecznych przy jednocześnie słabo rozbudowanej infrastrukturze technicznej, co negatywnie wpływa na jakość życia mieszkańców.</w:t>
            </w:r>
          </w:p>
          <w:p w:rsidR="00744565" w:rsidRPr="00AB5F7C" w:rsidRDefault="00744565" w:rsidP="005A226B">
            <w:pPr>
              <w:spacing w:line="276" w:lineRule="auto"/>
              <w:rPr>
                <w:rFonts w:cs="Times New Roman"/>
              </w:rPr>
            </w:pPr>
            <w:r w:rsidRPr="00AB5F7C">
              <w:rPr>
                <w:rFonts w:cs="Times New Roman"/>
              </w:rPr>
              <w:t>Dodatkowo obszar ten ma duży niewyk</w:t>
            </w:r>
            <w:r w:rsidR="00B8511F" w:rsidRPr="00AB5F7C">
              <w:rPr>
                <w:rFonts w:cs="Times New Roman"/>
              </w:rPr>
              <w:t>orzystany potencjał turystyczny, który byłby determinantą wyjścia ze zjawisk kryzysowych.</w:t>
            </w:r>
          </w:p>
        </w:tc>
        <w:tc>
          <w:tcPr>
            <w:tcW w:w="7512" w:type="dxa"/>
          </w:tcPr>
          <w:p w:rsidR="00744565" w:rsidRPr="00AB5F7C" w:rsidRDefault="00B8511F" w:rsidP="005A226B">
            <w:pPr>
              <w:spacing w:line="276" w:lineRule="auto"/>
              <w:rPr>
                <w:rFonts w:cs="Times New Roman"/>
              </w:rPr>
            </w:pPr>
            <w:r w:rsidRPr="00AB5F7C">
              <w:rPr>
                <w:rFonts w:cs="Times New Roman"/>
              </w:rPr>
              <w:lastRenderedPageBreak/>
              <w:t>Uwagę uwzględniono. Omyłkowo nie ujęto obszaru jako zdegradowanego i rewitalizacji.</w:t>
            </w:r>
          </w:p>
          <w:p w:rsidR="00B8511F" w:rsidRPr="00AB5F7C" w:rsidRDefault="00B8511F" w:rsidP="005A226B">
            <w:pPr>
              <w:spacing w:line="276" w:lineRule="auto"/>
              <w:rPr>
                <w:rFonts w:cs="Times New Roman"/>
              </w:rPr>
            </w:pPr>
            <w:r w:rsidRPr="00AB5F7C">
              <w:rPr>
                <w:rFonts w:cs="Times New Roman"/>
              </w:rPr>
              <w:t>Obszar klasyfikuje się jako zdegradowany ze względu na natężenie następujących niekorzystnych wskaźników społecznych:</w:t>
            </w:r>
          </w:p>
          <w:p w:rsidR="00B8511F" w:rsidRPr="00AB5F7C" w:rsidRDefault="00B8511F" w:rsidP="005A226B">
            <w:pPr>
              <w:spacing w:line="276" w:lineRule="auto"/>
              <w:rPr>
                <w:rFonts w:cs="Times New Roman"/>
              </w:rPr>
            </w:pPr>
            <w:r w:rsidRPr="00AB5F7C">
              <w:rPr>
                <w:rFonts w:cs="Times New Roman"/>
              </w:rPr>
              <w:t>Wojtkowice Stare:</w:t>
            </w:r>
          </w:p>
          <w:p w:rsidR="00B8511F" w:rsidRPr="00AB5F7C" w:rsidRDefault="00B8511F" w:rsidP="005A226B">
            <w:pPr>
              <w:pStyle w:val="Akapitzlist"/>
              <w:numPr>
                <w:ilvl w:val="0"/>
                <w:numId w:val="2"/>
              </w:numPr>
              <w:spacing w:line="276" w:lineRule="auto"/>
              <w:rPr>
                <w:rStyle w:val="markedcontent"/>
                <w:rFonts w:cs="Times New Roman"/>
              </w:rPr>
            </w:pPr>
            <w:r w:rsidRPr="00AB5F7C">
              <w:rPr>
                <w:rStyle w:val="markedcontent"/>
                <w:rFonts w:cs="Times New Roman"/>
              </w:rPr>
              <w:t>Wskaźnik procentowego udziału mieszkańców w wieku nieprodukcyjnym do liczby osób w</w:t>
            </w:r>
            <w:r w:rsidRPr="00AB5F7C">
              <w:rPr>
                <w:rFonts w:cs="Times New Roman"/>
              </w:rPr>
              <w:t xml:space="preserve"> </w:t>
            </w:r>
            <w:r w:rsidRPr="00AB5F7C">
              <w:rPr>
                <w:rStyle w:val="markedcontent"/>
                <w:rFonts w:cs="Times New Roman"/>
              </w:rPr>
              <w:t>wieku produkcyjnym zamieszkujących na danym obszarze</w:t>
            </w:r>
          </w:p>
          <w:p w:rsidR="00B8511F" w:rsidRPr="00AB5F7C" w:rsidRDefault="00B8511F" w:rsidP="005A226B">
            <w:pPr>
              <w:pStyle w:val="Legenda"/>
              <w:numPr>
                <w:ilvl w:val="0"/>
                <w:numId w:val="2"/>
              </w:numPr>
              <w:spacing w:line="276" w:lineRule="auto"/>
              <w:rPr>
                <w:rFonts w:cs="Times New Roman"/>
                <w:b w:val="0"/>
                <w:color w:val="auto"/>
                <w:sz w:val="22"/>
                <w:szCs w:val="22"/>
              </w:rPr>
            </w:pPr>
            <w:r w:rsidRPr="00AB5F7C">
              <w:rPr>
                <w:rFonts w:cs="Times New Roman"/>
                <w:b w:val="0"/>
                <w:color w:val="auto"/>
                <w:sz w:val="22"/>
                <w:szCs w:val="22"/>
              </w:rPr>
              <w:t>Wskaźnik osób w wieku produkcyjnym do ogólnej liczby osób zamieszkałych na terenie danej jednostki osadniczej</w:t>
            </w:r>
          </w:p>
          <w:p w:rsidR="00B8511F" w:rsidRPr="00AB5F7C" w:rsidRDefault="00B8511F" w:rsidP="005A226B">
            <w:pPr>
              <w:pStyle w:val="Akapitzlist"/>
              <w:numPr>
                <w:ilvl w:val="0"/>
                <w:numId w:val="2"/>
              </w:numPr>
              <w:spacing w:line="276" w:lineRule="auto"/>
              <w:rPr>
                <w:rFonts w:cs="Times New Roman"/>
              </w:rPr>
            </w:pPr>
            <w:r w:rsidRPr="00AB5F7C">
              <w:rPr>
                <w:rFonts w:cs="Times New Roman"/>
              </w:rPr>
              <w:t>Wskaźnik liczby osób w wieku poprodukcyjnym w ogólnej liczbie mieszkańców</w:t>
            </w:r>
          </w:p>
          <w:p w:rsidR="00B8511F" w:rsidRPr="00AB5F7C" w:rsidRDefault="00B8511F" w:rsidP="005A226B">
            <w:pPr>
              <w:pStyle w:val="Akapitzlist"/>
              <w:numPr>
                <w:ilvl w:val="0"/>
                <w:numId w:val="2"/>
              </w:numPr>
              <w:spacing w:line="276" w:lineRule="auto"/>
              <w:rPr>
                <w:rFonts w:cs="Times New Roman"/>
              </w:rPr>
            </w:pPr>
            <w:r w:rsidRPr="00AB5F7C">
              <w:rPr>
                <w:rFonts w:cs="Times New Roman"/>
              </w:rPr>
              <w:t>Wskaźnik liczby osób w wieku poprodukcyjnym przypadająca na 1000 osób w wieku produkcyjnym.</w:t>
            </w:r>
          </w:p>
          <w:p w:rsidR="00B8511F" w:rsidRPr="00AB5F7C" w:rsidRDefault="00B8511F" w:rsidP="005A226B">
            <w:pPr>
              <w:pStyle w:val="Legenda"/>
              <w:numPr>
                <w:ilvl w:val="0"/>
                <w:numId w:val="2"/>
              </w:numPr>
              <w:spacing w:line="276" w:lineRule="auto"/>
              <w:jc w:val="both"/>
              <w:rPr>
                <w:rFonts w:cs="Times New Roman"/>
                <w:b w:val="0"/>
                <w:color w:val="auto"/>
                <w:sz w:val="22"/>
                <w:szCs w:val="22"/>
              </w:rPr>
            </w:pPr>
            <w:r w:rsidRPr="00AB5F7C">
              <w:rPr>
                <w:rFonts w:cs="Times New Roman"/>
                <w:b w:val="0"/>
                <w:color w:val="auto"/>
                <w:sz w:val="22"/>
                <w:szCs w:val="22"/>
              </w:rPr>
              <w:t>Wskaźnik bezrobotnych powyżej 50 roku życia w ogólnej liczbie osób pozostających bez pracy</w:t>
            </w:r>
          </w:p>
          <w:p w:rsidR="00B8511F" w:rsidRPr="00AB5F7C" w:rsidRDefault="00B8511F" w:rsidP="005A226B">
            <w:pPr>
              <w:pStyle w:val="Legenda"/>
              <w:numPr>
                <w:ilvl w:val="0"/>
                <w:numId w:val="2"/>
              </w:numPr>
              <w:spacing w:line="276" w:lineRule="auto"/>
              <w:rPr>
                <w:rFonts w:cs="Times New Roman"/>
                <w:b w:val="0"/>
                <w:color w:val="auto"/>
                <w:sz w:val="22"/>
                <w:szCs w:val="22"/>
              </w:rPr>
            </w:pPr>
            <w:r w:rsidRPr="00AB5F7C">
              <w:rPr>
                <w:rFonts w:cs="Times New Roman"/>
                <w:b w:val="0"/>
                <w:color w:val="auto"/>
                <w:sz w:val="22"/>
                <w:szCs w:val="22"/>
              </w:rPr>
              <w:lastRenderedPageBreak/>
              <w:t>Wskaźnik liczby zasiłków pobieranych z tytułu ubóstwa w stosunku do ogólnej liczby zasiłków</w:t>
            </w:r>
          </w:p>
          <w:p w:rsidR="00B8511F" w:rsidRPr="00AB5F7C" w:rsidRDefault="00B8511F" w:rsidP="005A226B">
            <w:pPr>
              <w:pStyle w:val="Akapitzlist"/>
              <w:numPr>
                <w:ilvl w:val="0"/>
                <w:numId w:val="2"/>
              </w:numPr>
              <w:spacing w:line="276" w:lineRule="auto"/>
              <w:rPr>
                <w:rFonts w:cs="Times New Roman"/>
              </w:rPr>
            </w:pPr>
            <w:r w:rsidRPr="00AB5F7C">
              <w:rPr>
                <w:rFonts w:cs="Times New Roman"/>
              </w:rPr>
              <w:t>Niska aktywność społeczna ( frekwencja w wyborach)</w:t>
            </w:r>
          </w:p>
          <w:p w:rsidR="00113470" w:rsidRPr="00AB5F7C" w:rsidRDefault="00113470" w:rsidP="005A226B">
            <w:pPr>
              <w:spacing w:line="276" w:lineRule="auto"/>
              <w:rPr>
                <w:rFonts w:cs="Times New Roman"/>
              </w:rPr>
            </w:pPr>
            <w:r w:rsidRPr="00AB5F7C">
              <w:rPr>
                <w:rFonts w:cs="Times New Roman"/>
              </w:rPr>
              <w:t>Wskaźniki z pozostałych stref</w:t>
            </w:r>
          </w:p>
          <w:p w:rsidR="00113470" w:rsidRPr="00AB5F7C" w:rsidRDefault="00113470" w:rsidP="005A226B">
            <w:pPr>
              <w:spacing w:line="276" w:lineRule="auto"/>
              <w:rPr>
                <w:rFonts w:cs="Times New Roman"/>
              </w:rPr>
            </w:pPr>
            <w:r w:rsidRPr="00AB5F7C">
              <w:rPr>
                <w:rFonts w:cs="Times New Roman"/>
              </w:rPr>
              <w:t>Niski wskaźnik przedsiębiorczości</w:t>
            </w:r>
          </w:p>
          <w:p w:rsidR="00113470" w:rsidRPr="00AB5F7C" w:rsidRDefault="00113470" w:rsidP="005A226B">
            <w:pPr>
              <w:spacing w:line="276" w:lineRule="auto"/>
              <w:rPr>
                <w:rFonts w:cs="Times New Roman"/>
              </w:rPr>
            </w:pPr>
            <w:r w:rsidRPr="00AB5F7C">
              <w:rPr>
                <w:rFonts w:cs="Times New Roman"/>
              </w:rPr>
              <w:t>Niedoinwestowanie infrastrukturalne</w:t>
            </w:r>
          </w:p>
          <w:p w:rsidR="00113470" w:rsidRPr="00AB5F7C" w:rsidRDefault="00113470" w:rsidP="005A226B">
            <w:pPr>
              <w:spacing w:line="276" w:lineRule="auto"/>
              <w:rPr>
                <w:rFonts w:cs="Times New Roman"/>
              </w:rPr>
            </w:pPr>
            <w:r w:rsidRPr="00AB5F7C">
              <w:rPr>
                <w:rFonts w:cs="Times New Roman"/>
              </w:rPr>
              <w:t xml:space="preserve">Wojtkowice Glinna </w:t>
            </w:r>
          </w:p>
          <w:p w:rsidR="00113470" w:rsidRPr="00AB5F7C" w:rsidRDefault="00113470" w:rsidP="005A226B">
            <w:pPr>
              <w:spacing w:line="276" w:lineRule="auto"/>
              <w:rPr>
                <w:rStyle w:val="markedcontent"/>
                <w:rFonts w:cs="Times New Roman"/>
              </w:rPr>
            </w:pPr>
            <w:r w:rsidRPr="00AB5F7C">
              <w:rPr>
                <w:rStyle w:val="markedcontent"/>
                <w:rFonts w:cs="Times New Roman"/>
              </w:rPr>
              <w:t>Wskaźnik procentowego udziału mieszkańców w wieku nieprodukcyjnym do liczby osób w</w:t>
            </w:r>
            <w:r w:rsidRPr="00AB5F7C">
              <w:rPr>
                <w:rFonts w:cs="Times New Roman"/>
              </w:rPr>
              <w:t xml:space="preserve"> </w:t>
            </w:r>
            <w:r w:rsidRPr="00AB5F7C">
              <w:rPr>
                <w:rStyle w:val="markedcontent"/>
                <w:rFonts w:cs="Times New Roman"/>
              </w:rPr>
              <w:t>wieku produkcyjnym zamieszkujących na danym obszarze</w:t>
            </w:r>
          </w:p>
          <w:p w:rsidR="00113470" w:rsidRPr="00AB5F7C" w:rsidRDefault="00113470" w:rsidP="005A226B">
            <w:pPr>
              <w:pStyle w:val="Akapitzlist"/>
              <w:spacing w:line="276" w:lineRule="auto"/>
              <w:ind w:left="0"/>
              <w:jc w:val="both"/>
              <w:rPr>
                <w:rFonts w:cs="Times New Roman"/>
              </w:rPr>
            </w:pPr>
            <w:r w:rsidRPr="00AB5F7C">
              <w:rPr>
                <w:rFonts w:cs="Times New Roman"/>
              </w:rPr>
              <w:t>Wskaźnik liczby osób w wieku przedprodukcyjnym do ogólnej liczby mieszkańców</w:t>
            </w:r>
          </w:p>
          <w:p w:rsidR="00113470" w:rsidRPr="00AB5F7C" w:rsidRDefault="00113470" w:rsidP="005A226B">
            <w:pPr>
              <w:spacing w:line="276" w:lineRule="auto"/>
              <w:rPr>
                <w:rFonts w:cs="Times New Roman"/>
              </w:rPr>
            </w:pPr>
            <w:r w:rsidRPr="00AB5F7C">
              <w:rPr>
                <w:rFonts w:cs="Times New Roman"/>
              </w:rPr>
              <w:t>Wskaźnik osób w wieku produkcyjnym do ogólnej liczby osób zamieszkałych na terenie danej jednostki osadniczej</w:t>
            </w:r>
          </w:p>
          <w:p w:rsidR="00113470" w:rsidRPr="00AB5F7C" w:rsidRDefault="00113470" w:rsidP="005A226B">
            <w:pPr>
              <w:spacing w:line="276" w:lineRule="auto"/>
              <w:rPr>
                <w:rFonts w:cs="Times New Roman"/>
              </w:rPr>
            </w:pPr>
            <w:r w:rsidRPr="00AB5F7C">
              <w:rPr>
                <w:rFonts w:cs="Times New Roman"/>
              </w:rPr>
              <w:t>Wskaźnik liczby osób w wieku poprodukcyjnym w ogólnej liczbie mieszkańców</w:t>
            </w:r>
          </w:p>
          <w:p w:rsidR="00113470" w:rsidRPr="00AB5F7C" w:rsidRDefault="00113470" w:rsidP="005A226B">
            <w:pPr>
              <w:spacing w:line="276" w:lineRule="auto"/>
              <w:rPr>
                <w:rFonts w:cs="Times New Roman"/>
              </w:rPr>
            </w:pPr>
            <w:r w:rsidRPr="00AB5F7C">
              <w:rPr>
                <w:rFonts w:cs="Times New Roman"/>
              </w:rPr>
              <w:t>Wskaźnik liczby osób w wieku poprodukcyjnym przypadająca na 1000 osób w wieku produkcyjnym</w:t>
            </w:r>
          </w:p>
          <w:p w:rsidR="00113470" w:rsidRPr="00AB5F7C" w:rsidRDefault="00113470" w:rsidP="005A226B">
            <w:pPr>
              <w:spacing w:line="276" w:lineRule="auto"/>
              <w:rPr>
                <w:rStyle w:val="markedcontent"/>
                <w:rFonts w:cs="Times New Roman"/>
              </w:rPr>
            </w:pPr>
            <w:r w:rsidRPr="00AB5F7C">
              <w:rPr>
                <w:rStyle w:val="markedcontent"/>
                <w:rFonts w:cs="Times New Roman"/>
              </w:rPr>
              <w:t>Wskaźnik liczby mieszkańców w rodzinach pobierających zasiłek do ogólnej liczby mieszkańców zamieszkałej na danym terenie.</w:t>
            </w:r>
          </w:p>
          <w:p w:rsidR="00113470" w:rsidRPr="00AB5F7C" w:rsidRDefault="00113470" w:rsidP="005A226B">
            <w:pPr>
              <w:pStyle w:val="Legenda"/>
              <w:spacing w:line="276" w:lineRule="auto"/>
              <w:rPr>
                <w:rFonts w:cs="Times New Roman"/>
                <w:b w:val="0"/>
                <w:color w:val="auto"/>
                <w:sz w:val="22"/>
                <w:szCs w:val="22"/>
              </w:rPr>
            </w:pPr>
            <w:r w:rsidRPr="00AB5F7C">
              <w:rPr>
                <w:rFonts w:cs="Times New Roman"/>
                <w:b w:val="0"/>
                <w:color w:val="auto"/>
                <w:sz w:val="22"/>
                <w:szCs w:val="22"/>
              </w:rPr>
              <w:t>Wskaźnik liczby wypłaconych zasiłków na 1000 mieszkańców</w:t>
            </w:r>
          </w:p>
          <w:p w:rsidR="00113470" w:rsidRPr="00AB5F7C" w:rsidRDefault="00113470" w:rsidP="005A226B">
            <w:pPr>
              <w:spacing w:line="276" w:lineRule="auto"/>
              <w:rPr>
                <w:rFonts w:cs="Times New Roman"/>
              </w:rPr>
            </w:pPr>
            <w:r w:rsidRPr="00AB5F7C">
              <w:rPr>
                <w:rFonts w:cs="Times New Roman"/>
              </w:rPr>
              <w:t>Ilość zasiłków wypłacanych z powodu ubóstwa na 1000 mieszkańców</w:t>
            </w:r>
          </w:p>
          <w:p w:rsidR="00113470" w:rsidRPr="00AB5F7C" w:rsidRDefault="00113470" w:rsidP="005A226B">
            <w:pPr>
              <w:pStyle w:val="Akapitzlist"/>
              <w:numPr>
                <w:ilvl w:val="0"/>
                <w:numId w:val="2"/>
              </w:numPr>
              <w:spacing w:line="276" w:lineRule="auto"/>
              <w:rPr>
                <w:rFonts w:cs="Times New Roman"/>
              </w:rPr>
            </w:pPr>
            <w:r w:rsidRPr="00AB5F7C">
              <w:rPr>
                <w:rFonts w:cs="Times New Roman"/>
              </w:rPr>
              <w:t>Niska aktywność społeczna ( frekwencja w wyborach)</w:t>
            </w:r>
          </w:p>
          <w:p w:rsidR="00113470" w:rsidRPr="00AB5F7C" w:rsidRDefault="00113470" w:rsidP="005A226B">
            <w:pPr>
              <w:spacing w:line="276" w:lineRule="auto"/>
              <w:rPr>
                <w:rFonts w:cs="Times New Roman"/>
              </w:rPr>
            </w:pPr>
            <w:r w:rsidRPr="00AB5F7C">
              <w:rPr>
                <w:rFonts w:cs="Times New Roman"/>
              </w:rPr>
              <w:t>Wskaźniki z pozostałych stref</w:t>
            </w:r>
          </w:p>
          <w:p w:rsidR="00113470" w:rsidRPr="00AB5F7C" w:rsidRDefault="00113470" w:rsidP="005A226B">
            <w:pPr>
              <w:spacing w:line="276" w:lineRule="auto"/>
              <w:rPr>
                <w:rFonts w:cs="Times New Roman"/>
              </w:rPr>
            </w:pPr>
            <w:r w:rsidRPr="00AB5F7C">
              <w:rPr>
                <w:rFonts w:cs="Times New Roman"/>
              </w:rPr>
              <w:t>Niski wskaźnik przedsiębiorczości</w:t>
            </w:r>
          </w:p>
          <w:p w:rsidR="00113470" w:rsidRPr="00AB5F7C" w:rsidRDefault="00113470" w:rsidP="005A226B">
            <w:pPr>
              <w:spacing w:line="276" w:lineRule="auto"/>
              <w:rPr>
                <w:rFonts w:cs="Times New Roman"/>
              </w:rPr>
            </w:pPr>
            <w:r w:rsidRPr="00AB5F7C">
              <w:rPr>
                <w:rFonts w:cs="Times New Roman"/>
              </w:rPr>
              <w:t>Niedoinwestowanie infrastrukturalne</w:t>
            </w:r>
          </w:p>
          <w:p w:rsidR="00113470" w:rsidRPr="00AB5F7C" w:rsidRDefault="00113470" w:rsidP="005A226B">
            <w:pPr>
              <w:spacing w:line="276" w:lineRule="auto"/>
              <w:rPr>
                <w:rStyle w:val="markedcontent"/>
                <w:rFonts w:cs="Times New Roman"/>
              </w:rPr>
            </w:pPr>
            <w:r w:rsidRPr="00AB5F7C">
              <w:rPr>
                <w:rStyle w:val="markedcontent"/>
                <w:rFonts w:cs="Times New Roman"/>
              </w:rPr>
              <w:t>Wojtkowice Dady</w:t>
            </w:r>
          </w:p>
          <w:p w:rsidR="00113470" w:rsidRPr="00AB5F7C" w:rsidRDefault="00113470" w:rsidP="005A226B">
            <w:pPr>
              <w:spacing w:line="276" w:lineRule="auto"/>
              <w:rPr>
                <w:rStyle w:val="markedcontent"/>
                <w:rFonts w:cs="Times New Roman"/>
              </w:rPr>
            </w:pPr>
            <w:r w:rsidRPr="00AB5F7C">
              <w:rPr>
                <w:rStyle w:val="markedcontent"/>
                <w:rFonts w:cs="Times New Roman"/>
              </w:rPr>
              <w:t>Wskaźnik procentowego udziału mieszkańców w wieku nieprodukcyjnym do liczby osób w</w:t>
            </w:r>
            <w:r w:rsidRPr="00AB5F7C">
              <w:rPr>
                <w:rFonts w:cs="Times New Roman"/>
              </w:rPr>
              <w:t xml:space="preserve"> </w:t>
            </w:r>
            <w:r w:rsidRPr="00AB5F7C">
              <w:rPr>
                <w:rStyle w:val="markedcontent"/>
                <w:rFonts w:cs="Times New Roman"/>
              </w:rPr>
              <w:t>wieku produkcyjnym zamieszkujących na danym obszarze</w:t>
            </w:r>
          </w:p>
          <w:p w:rsidR="00113470" w:rsidRPr="00AB5F7C" w:rsidRDefault="00113470" w:rsidP="005A226B">
            <w:pPr>
              <w:spacing w:line="276" w:lineRule="auto"/>
              <w:rPr>
                <w:rFonts w:cs="Times New Roman"/>
              </w:rPr>
            </w:pPr>
            <w:r w:rsidRPr="00AB5F7C">
              <w:rPr>
                <w:rFonts w:cs="Times New Roman"/>
              </w:rPr>
              <w:t>Wskaźnik osób w wieku produkcyjnym do ogólnej liczby osób zamieszkałych na terenie danej jednostki osadniczej</w:t>
            </w:r>
          </w:p>
          <w:p w:rsidR="00113470" w:rsidRPr="00AB5F7C" w:rsidRDefault="00113470" w:rsidP="005A226B">
            <w:pPr>
              <w:spacing w:line="276" w:lineRule="auto"/>
              <w:rPr>
                <w:rFonts w:cs="Times New Roman"/>
              </w:rPr>
            </w:pPr>
            <w:r w:rsidRPr="00AB5F7C">
              <w:rPr>
                <w:rFonts w:cs="Times New Roman"/>
              </w:rPr>
              <w:t>Wskaźnik liczby osób w wieku poprodukcyjnym w ogólnej liczbie mieszkańców</w:t>
            </w:r>
          </w:p>
          <w:p w:rsidR="00113470" w:rsidRPr="00AB5F7C" w:rsidRDefault="00113470" w:rsidP="005A226B">
            <w:pPr>
              <w:spacing w:line="276" w:lineRule="auto"/>
              <w:rPr>
                <w:rFonts w:cs="Times New Roman"/>
              </w:rPr>
            </w:pPr>
            <w:r w:rsidRPr="00AB5F7C">
              <w:rPr>
                <w:rFonts w:cs="Times New Roman"/>
              </w:rPr>
              <w:lastRenderedPageBreak/>
              <w:t>Wskaźnik liczby osób w wieku poprodukcyjnym przypadająca na 1000 osób w wieku produkcyjnym</w:t>
            </w:r>
          </w:p>
          <w:p w:rsidR="00113470" w:rsidRPr="00AB5F7C" w:rsidRDefault="00113470" w:rsidP="005A226B">
            <w:pPr>
              <w:spacing w:line="276" w:lineRule="auto"/>
              <w:rPr>
                <w:rStyle w:val="markedcontent"/>
                <w:rFonts w:cs="Times New Roman"/>
              </w:rPr>
            </w:pPr>
            <w:r w:rsidRPr="00AB5F7C">
              <w:rPr>
                <w:rStyle w:val="markedcontent"/>
                <w:rFonts w:cs="Times New Roman"/>
              </w:rPr>
              <w:t>Wskaźnik liczby mieszkańców w rodzinach pobierających zasiłek do ogólnej liczby mieszkańców zamieszkałej na danym terenie</w:t>
            </w:r>
          </w:p>
          <w:p w:rsidR="00113470" w:rsidRPr="00AB5F7C" w:rsidRDefault="00113470" w:rsidP="005A226B">
            <w:pPr>
              <w:pStyle w:val="Legenda"/>
              <w:spacing w:line="276" w:lineRule="auto"/>
              <w:rPr>
                <w:rFonts w:cs="Times New Roman"/>
                <w:b w:val="0"/>
                <w:color w:val="auto"/>
                <w:sz w:val="22"/>
                <w:szCs w:val="22"/>
              </w:rPr>
            </w:pPr>
            <w:r w:rsidRPr="00AB5F7C">
              <w:rPr>
                <w:rFonts w:cs="Times New Roman"/>
                <w:b w:val="0"/>
                <w:color w:val="auto"/>
                <w:sz w:val="22"/>
                <w:szCs w:val="22"/>
              </w:rPr>
              <w:t>Wskaźnik liczby zasiłków pobieranych z tytułu ubóstwa w stosunku do ogólnej liczby zasiłków</w:t>
            </w:r>
          </w:p>
          <w:p w:rsidR="00113470" w:rsidRPr="00AB5F7C" w:rsidRDefault="00113470" w:rsidP="005A226B">
            <w:pPr>
              <w:spacing w:line="276" w:lineRule="auto"/>
              <w:rPr>
                <w:rStyle w:val="markedcontent"/>
                <w:rFonts w:cs="Times New Roman"/>
              </w:rPr>
            </w:pPr>
            <w:r w:rsidRPr="00AB5F7C">
              <w:rPr>
                <w:rStyle w:val="markedcontent"/>
                <w:rFonts w:cs="Times New Roman"/>
              </w:rPr>
              <w:t>Wysoka przestępczość</w:t>
            </w:r>
          </w:p>
          <w:p w:rsidR="00113470" w:rsidRPr="00AB5F7C" w:rsidRDefault="00113470" w:rsidP="005A226B">
            <w:pPr>
              <w:pStyle w:val="Akapitzlist"/>
              <w:numPr>
                <w:ilvl w:val="0"/>
                <w:numId w:val="2"/>
              </w:numPr>
              <w:spacing w:line="276" w:lineRule="auto"/>
              <w:rPr>
                <w:rFonts w:cs="Times New Roman"/>
              </w:rPr>
            </w:pPr>
            <w:r w:rsidRPr="00AB5F7C">
              <w:rPr>
                <w:rFonts w:cs="Times New Roman"/>
              </w:rPr>
              <w:t>Niska aktywność społeczna ( frekwencja w wyborach)</w:t>
            </w:r>
          </w:p>
          <w:p w:rsidR="00113470" w:rsidRPr="00AB5F7C" w:rsidRDefault="00113470" w:rsidP="005A226B">
            <w:pPr>
              <w:spacing w:line="276" w:lineRule="auto"/>
              <w:rPr>
                <w:rFonts w:cs="Times New Roman"/>
              </w:rPr>
            </w:pPr>
            <w:r w:rsidRPr="00AB5F7C">
              <w:rPr>
                <w:rFonts w:cs="Times New Roman"/>
              </w:rPr>
              <w:t>Wskaźniki z pozostałych stref</w:t>
            </w:r>
          </w:p>
          <w:p w:rsidR="00113470" w:rsidRPr="00AB5F7C" w:rsidRDefault="00113470" w:rsidP="005A226B">
            <w:pPr>
              <w:spacing w:line="276" w:lineRule="auto"/>
              <w:rPr>
                <w:rFonts w:cs="Times New Roman"/>
              </w:rPr>
            </w:pPr>
            <w:r w:rsidRPr="00AB5F7C">
              <w:rPr>
                <w:rFonts w:cs="Times New Roman"/>
              </w:rPr>
              <w:t>Niski wskaźnik przedsiębiorczości</w:t>
            </w:r>
          </w:p>
          <w:p w:rsidR="00113470" w:rsidRPr="00AB5F7C" w:rsidRDefault="00113470" w:rsidP="005A226B">
            <w:pPr>
              <w:spacing w:line="276" w:lineRule="auto"/>
              <w:rPr>
                <w:rStyle w:val="markedcontent"/>
                <w:rFonts w:cs="Times New Roman"/>
              </w:rPr>
            </w:pPr>
            <w:r w:rsidRPr="00AB5F7C">
              <w:rPr>
                <w:rFonts w:cs="Times New Roman"/>
              </w:rPr>
              <w:t>Niedoinwestowanie infrastrukturalne</w:t>
            </w:r>
          </w:p>
          <w:p w:rsidR="00113470" w:rsidRPr="00AB5F7C" w:rsidRDefault="00113470" w:rsidP="005A226B">
            <w:pPr>
              <w:spacing w:line="276" w:lineRule="auto"/>
              <w:rPr>
                <w:rFonts w:cs="Times New Roman"/>
              </w:rPr>
            </w:pPr>
          </w:p>
        </w:tc>
      </w:tr>
    </w:tbl>
    <w:p w:rsidR="00744565" w:rsidRPr="00AB5F7C" w:rsidRDefault="00744565" w:rsidP="00891D94">
      <w:pPr>
        <w:spacing w:before="100" w:beforeAutospacing="1" w:after="100" w:afterAutospacing="1" w:line="240" w:lineRule="auto"/>
        <w:rPr>
          <w:sz w:val="28"/>
          <w:szCs w:val="28"/>
        </w:rPr>
      </w:pPr>
    </w:p>
    <w:p w:rsidR="0068113E" w:rsidRPr="00AB5F7C" w:rsidRDefault="0068113E" w:rsidP="00891D94">
      <w:pPr>
        <w:spacing w:before="100" w:beforeAutospacing="1" w:after="100" w:afterAutospacing="1" w:line="240" w:lineRule="auto"/>
        <w:rPr>
          <w:rFonts w:eastAsia="Times New Roman" w:cs="Times New Roman"/>
          <w:sz w:val="24"/>
          <w:szCs w:val="24"/>
        </w:rPr>
      </w:pPr>
    </w:p>
    <w:p w:rsidR="00891D94" w:rsidRPr="00AB5F7C" w:rsidRDefault="00891D94" w:rsidP="00891D94">
      <w:pPr>
        <w:spacing w:before="100" w:beforeAutospacing="1" w:after="100" w:afterAutospacing="1" w:line="240" w:lineRule="auto"/>
        <w:rPr>
          <w:rFonts w:eastAsia="Times New Roman" w:cs="Times New Roman"/>
          <w:sz w:val="24"/>
          <w:szCs w:val="24"/>
        </w:rPr>
      </w:pPr>
    </w:p>
    <w:p w:rsidR="00762109" w:rsidRPr="00AB5F7C" w:rsidRDefault="00762109" w:rsidP="00762109">
      <w:pPr>
        <w:spacing w:before="100" w:beforeAutospacing="1" w:after="100" w:afterAutospacing="1" w:line="240" w:lineRule="auto"/>
        <w:rPr>
          <w:rFonts w:eastAsia="Times New Roman" w:cs="Times New Roman"/>
          <w:sz w:val="24"/>
          <w:szCs w:val="24"/>
        </w:rPr>
      </w:pPr>
    </w:p>
    <w:p w:rsidR="00762109" w:rsidRPr="00AB5F7C" w:rsidRDefault="00762109"/>
    <w:sectPr w:rsidR="00762109" w:rsidRPr="00AB5F7C" w:rsidSect="00B8511F">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895" w:rsidRDefault="00B24895" w:rsidP="00ED063E">
      <w:pPr>
        <w:spacing w:after="0" w:line="240" w:lineRule="auto"/>
      </w:pPr>
      <w:r>
        <w:separator/>
      </w:r>
    </w:p>
  </w:endnote>
  <w:endnote w:type="continuationSeparator" w:id="0">
    <w:p w:rsidR="00B24895" w:rsidRDefault="00B24895" w:rsidP="00ED06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63E" w:rsidRDefault="00ED063E">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064474"/>
      <w:docPartObj>
        <w:docPartGallery w:val="Page Numbers (Bottom of Page)"/>
        <w:docPartUnique/>
      </w:docPartObj>
    </w:sdtPr>
    <w:sdtContent>
      <w:p w:rsidR="00ED063E" w:rsidRDefault="003D4277">
        <w:pPr>
          <w:pStyle w:val="Stopka"/>
          <w:jc w:val="right"/>
        </w:pPr>
        <w:fldSimple w:instr=" PAGE   \* MERGEFORMAT ">
          <w:r w:rsidR="003A2B23">
            <w:rPr>
              <w:noProof/>
            </w:rPr>
            <w:t>7</w:t>
          </w:r>
        </w:fldSimple>
      </w:p>
    </w:sdtContent>
  </w:sdt>
  <w:p w:rsidR="00ED063E" w:rsidRDefault="00ED063E">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064473"/>
      <w:docPartObj>
        <w:docPartGallery w:val="Page Numbers (Bottom of Page)"/>
        <w:docPartUnique/>
      </w:docPartObj>
    </w:sdtPr>
    <w:sdtContent>
      <w:p w:rsidR="00ED063E" w:rsidRDefault="003D4277">
        <w:pPr>
          <w:pStyle w:val="Stopka"/>
          <w:jc w:val="right"/>
        </w:pPr>
      </w:p>
    </w:sdtContent>
  </w:sdt>
  <w:p w:rsidR="00ED063E" w:rsidRDefault="00ED063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895" w:rsidRDefault="00B24895" w:rsidP="00ED063E">
      <w:pPr>
        <w:spacing w:after="0" w:line="240" w:lineRule="auto"/>
      </w:pPr>
      <w:r>
        <w:separator/>
      </w:r>
    </w:p>
  </w:footnote>
  <w:footnote w:type="continuationSeparator" w:id="0">
    <w:p w:rsidR="00B24895" w:rsidRDefault="00B24895" w:rsidP="00ED06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63E" w:rsidRDefault="00ED063E">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63E" w:rsidRDefault="00ED063E">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63E" w:rsidRDefault="00ED063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00DF1"/>
    <w:multiLevelType w:val="hybridMultilevel"/>
    <w:tmpl w:val="391C6A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92B45C5"/>
    <w:multiLevelType w:val="hybridMultilevel"/>
    <w:tmpl w:val="8F3E9F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8751978"/>
    <w:multiLevelType w:val="multilevel"/>
    <w:tmpl w:val="9C06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BF0764"/>
    <w:multiLevelType w:val="hybridMultilevel"/>
    <w:tmpl w:val="F1527B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074566B"/>
    <w:multiLevelType w:val="hybridMultilevel"/>
    <w:tmpl w:val="D5F836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70A63"/>
    <w:rsid w:val="00113470"/>
    <w:rsid w:val="003A2B23"/>
    <w:rsid w:val="003D4277"/>
    <w:rsid w:val="0042639B"/>
    <w:rsid w:val="005A226B"/>
    <w:rsid w:val="0068113E"/>
    <w:rsid w:val="006C7442"/>
    <w:rsid w:val="00744565"/>
    <w:rsid w:val="00762109"/>
    <w:rsid w:val="00870A63"/>
    <w:rsid w:val="00891D94"/>
    <w:rsid w:val="00920BC6"/>
    <w:rsid w:val="00AB5F7C"/>
    <w:rsid w:val="00B24895"/>
    <w:rsid w:val="00B8511F"/>
    <w:rsid w:val="00ED063E"/>
    <w:rsid w:val="00FC0D9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0D98"/>
  </w:style>
  <w:style w:type="paragraph" w:styleId="Nagwek1">
    <w:name w:val="heading 1"/>
    <w:basedOn w:val="Normalny"/>
    <w:next w:val="Normalny"/>
    <w:link w:val="Nagwek1Znak"/>
    <w:uiPriority w:val="9"/>
    <w:qFormat/>
    <w:rsid w:val="005A22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4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870A63"/>
  </w:style>
  <w:style w:type="paragraph" w:styleId="NormalnyWeb">
    <w:name w:val="Normal (Web)"/>
    <w:basedOn w:val="Normalny"/>
    <w:uiPriority w:val="99"/>
    <w:semiHidden/>
    <w:unhideWhenUsed/>
    <w:rsid w:val="00762109"/>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762109"/>
    <w:rPr>
      <w:color w:val="0000FF"/>
      <w:u w:val="single"/>
    </w:rPr>
  </w:style>
  <w:style w:type="character" w:customStyle="1" w:styleId="Nagwek2Znak">
    <w:name w:val="Nagłówek 2 Znak"/>
    <w:basedOn w:val="Domylnaczcionkaakapitu"/>
    <w:link w:val="Nagwek2"/>
    <w:uiPriority w:val="9"/>
    <w:rsid w:val="00744565"/>
    <w:rPr>
      <w:rFonts w:asciiTheme="majorHAnsi" w:eastAsiaTheme="majorEastAsia" w:hAnsiTheme="majorHAnsi" w:cstheme="majorBidi"/>
      <w:b/>
      <w:bCs/>
      <w:color w:val="4F81BD" w:themeColor="accent1"/>
      <w:sz w:val="26"/>
      <w:szCs w:val="26"/>
    </w:rPr>
  </w:style>
  <w:style w:type="table" w:styleId="Tabela-Siatka">
    <w:name w:val="Table Grid"/>
    <w:basedOn w:val="Standardowy"/>
    <w:uiPriority w:val="59"/>
    <w:rsid w:val="007445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B8511F"/>
    <w:pPr>
      <w:ind w:left="720"/>
      <w:contextualSpacing/>
    </w:pPr>
  </w:style>
  <w:style w:type="paragraph" w:styleId="Legenda">
    <w:name w:val="caption"/>
    <w:basedOn w:val="Normalny"/>
    <w:next w:val="Normalny"/>
    <w:uiPriority w:val="35"/>
    <w:unhideWhenUsed/>
    <w:qFormat/>
    <w:rsid w:val="00B8511F"/>
    <w:pPr>
      <w:spacing w:line="240" w:lineRule="auto"/>
    </w:pPr>
    <w:rPr>
      <w:b/>
      <w:bCs/>
      <w:color w:val="4F81BD" w:themeColor="accent1"/>
      <w:sz w:val="18"/>
      <w:szCs w:val="18"/>
    </w:rPr>
  </w:style>
  <w:style w:type="character" w:customStyle="1" w:styleId="Nagwek1Znak">
    <w:name w:val="Nagłówek 1 Znak"/>
    <w:basedOn w:val="Domylnaczcionkaakapitu"/>
    <w:link w:val="Nagwek1"/>
    <w:uiPriority w:val="9"/>
    <w:rsid w:val="005A226B"/>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42639B"/>
    <w:pPr>
      <w:outlineLvl w:val="9"/>
    </w:pPr>
    <w:rPr>
      <w:lang w:eastAsia="en-US"/>
    </w:rPr>
  </w:style>
  <w:style w:type="paragraph" w:styleId="Spistreci1">
    <w:name w:val="toc 1"/>
    <w:basedOn w:val="Normalny"/>
    <w:next w:val="Normalny"/>
    <w:autoRedefine/>
    <w:uiPriority w:val="39"/>
    <w:unhideWhenUsed/>
    <w:rsid w:val="0042639B"/>
    <w:pPr>
      <w:spacing w:after="100"/>
    </w:pPr>
  </w:style>
  <w:style w:type="paragraph" w:styleId="Spistreci2">
    <w:name w:val="toc 2"/>
    <w:basedOn w:val="Normalny"/>
    <w:next w:val="Normalny"/>
    <w:autoRedefine/>
    <w:uiPriority w:val="39"/>
    <w:unhideWhenUsed/>
    <w:rsid w:val="0042639B"/>
    <w:pPr>
      <w:spacing w:after="100"/>
      <w:ind w:left="220"/>
    </w:pPr>
  </w:style>
  <w:style w:type="paragraph" w:styleId="Tekstdymka">
    <w:name w:val="Balloon Text"/>
    <w:basedOn w:val="Normalny"/>
    <w:link w:val="TekstdymkaZnak"/>
    <w:uiPriority w:val="99"/>
    <w:semiHidden/>
    <w:unhideWhenUsed/>
    <w:rsid w:val="0042639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639B"/>
    <w:rPr>
      <w:rFonts w:ascii="Tahoma" w:hAnsi="Tahoma" w:cs="Tahoma"/>
      <w:sz w:val="16"/>
      <w:szCs w:val="16"/>
    </w:rPr>
  </w:style>
  <w:style w:type="paragraph" w:styleId="Bezodstpw">
    <w:name w:val="No Spacing"/>
    <w:link w:val="BezodstpwZnak"/>
    <w:uiPriority w:val="1"/>
    <w:qFormat/>
    <w:rsid w:val="0042639B"/>
    <w:pPr>
      <w:spacing w:after="0" w:line="240" w:lineRule="auto"/>
    </w:pPr>
    <w:rPr>
      <w:lang w:eastAsia="en-US"/>
    </w:rPr>
  </w:style>
  <w:style w:type="character" w:customStyle="1" w:styleId="BezodstpwZnak">
    <w:name w:val="Bez odstępów Znak"/>
    <w:basedOn w:val="Domylnaczcionkaakapitu"/>
    <w:link w:val="Bezodstpw"/>
    <w:uiPriority w:val="1"/>
    <w:rsid w:val="0042639B"/>
    <w:rPr>
      <w:lang w:eastAsia="en-US"/>
    </w:rPr>
  </w:style>
  <w:style w:type="paragraph" w:styleId="Nagwek">
    <w:name w:val="header"/>
    <w:basedOn w:val="Normalny"/>
    <w:link w:val="NagwekZnak"/>
    <w:uiPriority w:val="99"/>
    <w:semiHidden/>
    <w:unhideWhenUsed/>
    <w:rsid w:val="00ED063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D063E"/>
  </w:style>
  <w:style w:type="paragraph" w:styleId="Stopka">
    <w:name w:val="footer"/>
    <w:basedOn w:val="Normalny"/>
    <w:link w:val="StopkaZnak"/>
    <w:uiPriority w:val="99"/>
    <w:unhideWhenUsed/>
    <w:rsid w:val="00ED06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063E"/>
  </w:style>
</w:styles>
</file>

<file path=word/webSettings.xml><?xml version="1.0" encoding="utf-8"?>
<w:webSettings xmlns:r="http://schemas.openxmlformats.org/officeDocument/2006/relationships" xmlns:w="http://schemas.openxmlformats.org/wordprocessingml/2006/main">
  <w:divs>
    <w:div w:id="168875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ydruki@ciechanowiec.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ECHANOWIEC.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39382-B53A-40FE-9854-514DFE757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1811</Words>
  <Characters>10872</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MKondraciuk</cp:lastModifiedBy>
  <cp:revision>2</cp:revision>
  <dcterms:created xsi:type="dcterms:W3CDTF">2022-05-20T13:34:00Z</dcterms:created>
  <dcterms:modified xsi:type="dcterms:W3CDTF">2022-05-20T13:34:00Z</dcterms:modified>
</cp:coreProperties>
</file>